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false"/>
        <w:bidi w:val="0"/>
        <w:snapToGrid w:val="false"/>
        <w:spacing w:lineRule="exact" w:line="594"/>
        <w:jc w:val="center"/>
        <w:textAlignment w:val="auto"/>
        <w:rPr>
          <w:rFonts w:ascii="宋体" w:hAnsi="宋体" w:eastAsia="宋体" w:cs="宋体" w:hint="eastAsia"/>
          <w:b/>
          <w:bCs/>
          <w:color w:val="000000"/>
          <w:kern w:val="0"/>
          <w:sz w:val="32"/>
          <w:szCs w:val="32"/>
        </w:rPr>
      </w:pPr>
      <w:r>
        <w:rPr>
          <w:rFonts w:eastAsia="宋体" w:cs="宋体" w:hint="eastAsia" w:ascii="宋体" w:hAnsi="宋体"/>
          <w:b/>
          <w:bCs/>
          <w:color w:val="000000"/>
          <w:kern w:val="0"/>
          <w:sz w:val="32"/>
          <w:szCs w:val="32"/>
        </w:rPr>
      </w:r>
    </w:p>
    <w:p>
      <w:pPr>
        <w:pStyle w:val="Normal"/>
        <w:keepNext w:val="false"/>
        <w:keepLines w:val="false"/>
        <w:pageBreakBefore w:val="false"/>
        <w:widowControl w:val="false"/>
        <w:kinsoku w:val="true"/>
        <w:overflowPunct w:val="true"/>
        <w:autoSpaceDE w:val="false"/>
        <w:bidi w:val="0"/>
        <w:snapToGrid w:val="false"/>
        <w:spacing w:lineRule="exact" w:line="594"/>
        <w:jc w:val="center"/>
        <w:textAlignment w:val="auto"/>
        <w:rPr>
          <w:rFonts w:ascii="宋体" w:hAnsi="宋体" w:eastAsia="宋体" w:cs="宋体" w:hint="eastAsia"/>
          <w:b/>
          <w:bCs/>
          <w:color w:val="000000"/>
          <w:kern w:val="0"/>
          <w:sz w:val="32"/>
          <w:szCs w:val="32"/>
        </w:rPr>
      </w:pPr>
      <w:r>
        <w:rPr>
          <w:rFonts w:eastAsia="宋体" w:cs="宋体" w:hint="eastAsia" w:ascii="宋体" w:hAnsi="宋体"/>
          <w:b/>
          <w:bCs/>
          <w:color w:val="000000"/>
          <w:kern w:val="0"/>
          <w:sz w:val="32"/>
          <w:szCs w:val="32"/>
        </w:rPr>
      </w:r>
    </w:p>
    <w:p>
      <w:pPr>
        <w:pStyle w:val="Normal"/>
        <w:keepNext w:val="false"/>
        <w:keepLines w:val="false"/>
        <w:pageBreakBefore w:val="false"/>
        <w:widowControl w:val="false"/>
        <w:kinsoku w:val="true"/>
        <w:overflowPunct w:val="true"/>
        <w:autoSpaceDE w:val="false"/>
        <w:bidi w:val="0"/>
        <w:snapToGrid w:val="false"/>
        <w:spacing w:lineRule="exact" w:line="640"/>
        <w:jc w:val="center"/>
        <w:textAlignment w:val="auto"/>
        <w:rPr>
          <w:rFonts w:ascii="宋体" w:hAnsi="宋体" w:eastAsia="宋体" w:cs="宋体" w:hint="eastAsia"/>
          <w:b w:val="false"/>
          <w:bCs w:val="false"/>
          <w:color w:val="000000"/>
          <w:kern w:val="0"/>
          <w:sz w:val="44"/>
          <w:szCs w:val="44"/>
        </w:rPr>
      </w:pPr>
      <w:r>
        <w:rPr>
          <w:rFonts w:ascii="宋体" w:hAnsi="宋体" w:cs="宋体" w:hint="eastAsia"/>
          <w:b w:val="false"/>
          <w:bCs w:val="false"/>
          <w:color w:val="000000"/>
          <w:kern w:val="0"/>
          <w:sz w:val="44"/>
          <w:szCs w:val="44"/>
        </w:rPr>
        <w:t>辽宁省人民代表大会常务委员会关于</w:t>
      </w:r>
    </w:p>
    <w:p>
      <w:pPr>
        <w:pStyle w:val="Normal"/>
        <w:keepNext w:val="false"/>
        <w:keepLines w:val="false"/>
        <w:pageBreakBefore w:val="false"/>
        <w:widowControl w:val="false"/>
        <w:kinsoku w:val="true"/>
        <w:overflowPunct w:val="true"/>
        <w:autoSpaceDE w:val="false"/>
        <w:bidi w:val="0"/>
        <w:snapToGrid w:val="false"/>
        <w:spacing w:lineRule="exact" w:line="640"/>
        <w:jc w:val="center"/>
        <w:textAlignment w:val="auto"/>
        <w:rPr>
          <w:rFonts w:ascii="宋体" w:hAnsi="宋体" w:eastAsia="宋体" w:cs="宋体" w:hint="eastAsia"/>
          <w:b w:val="false"/>
          <w:bCs w:val="false"/>
          <w:color w:val="000000"/>
          <w:kern w:val="0"/>
          <w:sz w:val="44"/>
          <w:szCs w:val="44"/>
        </w:rPr>
      </w:pPr>
      <w:r>
        <w:rPr>
          <w:rFonts w:ascii="宋体" w:hAnsi="宋体" w:cs="宋体" w:hint="eastAsia"/>
          <w:b w:val="false"/>
          <w:bCs w:val="false"/>
          <w:color w:val="000000"/>
          <w:kern w:val="0"/>
          <w:sz w:val="44"/>
          <w:szCs w:val="44"/>
        </w:rPr>
        <w:t>批准辽宁省应税大气污染物和水污染物环境</w:t>
      </w:r>
    </w:p>
    <w:p>
      <w:pPr>
        <w:pStyle w:val="Normal"/>
        <w:keepNext w:val="false"/>
        <w:keepLines w:val="false"/>
        <w:pageBreakBefore w:val="false"/>
        <w:widowControl w:val="false"/>
        <w:kinsoku w:val="true"/>
        <w:overflowPunct w:val="true"/>
        <w:autoSpaceDE w:val="false"/>
        <w:bidi w:val="0"/>
        <w:snapToGrid w:val="false"/>
        <w:spacing w:lineRule="exact" w:line="640"/>
        <w:jc w:val="center"/>
        <w:textAlignment w:val="auto"/>
        <w:rPr>
          <w:rFonts w:ascii="楷体" w:hAnsi="楷体" w:eastAsia="楷体" w:cs="楷体" w:hint="eastAsia"/>
          <w:spacing w:val="0"/>
          <w:kern w:val="0"/>
          <w:sz w:val="32"/>
          <w:szCs w:val="32"/>
        </w:rPr>
      </w:pPr>
      <w:r>
        <w:rPr>
          <w:rFonts w:ascii="宋体" w:hAnsi="宋体" w:cs="宋体" w:hint="eastAsia"/>
          <w:b w:val="false"/>
          <w:bCs w:val="false"/>
          <w:color w:val="000000"/>
          <w:kern w:val="0"/>
          <w:sz w:val="44"/>
          <w:szCs w:val="44"/>
        </w:rPr>
        <w:t>保护税适用税额调整方案的决议</w:t>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楷体" w:hAnsi="楷体" w:eastAsia="楷体" w:cs="FZXBSK--GBK1-0;宋体" w:hint="eastAsia"/>
          <w:color w:val="000000"/>
          <w:kern w:val="0"/>
          <w:sz w:val="32"/>
          <w:szCs w:val="32"/>
        </w:rPr>
      </w:pPr>
      <w:r>
        <w:rPr>
          <w:rFonts w:ascii="楷体" w:hAnsi="楷体" w:cs="FZXBSK--GBK1-0;宋体" w:hint="eastAsia" w:eastAsia="楷体"/>
          <w:color w:val="000000"/>
          <w:kern w:val="0"/>
          <w:sz w:val="32"/>
          <w:szCs w:val="32"/>
        </w:rPr>
        <w:t>（</w:t>
      </w:r>
      <w:r>
        <w:rPr>
          <w:rFonts w:eastAsia="楷体" w:cs="FZXBSK--GBK1-0;宋体" w:hint="eastAsia" w:ascii="楷体" w:hAnsi="楷体"/>
          <w:color w:val="000000"/>
          <w:kern w:val="0"/>
          <w:sz w:val="32"/>
          <w:szCs w:val="32"/>
        </w:rPr>
        <w:t>2020</w:t>
      </w:r>
      <w:r>
        <w:rPr>
          <w:rFonts w:ascii="楷体" w:hAnsi="楷体" w:cs="FZXBSK--GBK1-0;宋体" w:hint="eastAsia" w:eastAsia="楷体"/>
          <w:color w:val="000000"/>
          <w:kern w:val="0"/>
          <w:sz w:val="32"/>
          <w:szCs w:val="32"/>
        </w:rPr>
        <w:t>年</w:t>
      </w:r>
      <w:r>
        <w:rPr>
          <w:rFonts w:eastAsia="楷体" w:cs="FZXBSK--GBK1-0;宋体" w:hint="eastAsia" w:ascii="楷体" w:hAnsi="楷体"/>
          <w:color w:val="000000"/>
          <w:kern w:val="0"/>
          <w:sz w:val="32"/>
          <w:szCs w:val="32"/>
        </w:rPr>
        <w:t>5</w:t>
      </w:r>
      <w:r>
        <w:rPr>
          <w:rFonts w:ascii="楷体" w:hAnsi="楷体" w:cs="FZXBSK--GBK1-0;宋体" w:hint="eastAsia" w:eastAsia="楷体"/>
          <w:color w:val="000000"/>
          <w:kern w:val="0"/>
          <w:sz w:val="32"/>
          <w:szCs w:val="32"/>
        </w:rPr>
        <w:t>月</w:t>
      </w:r>
      <w:r>
        <w:rPr>
          <w:rFonts w:eastAsia="楷体" w:cs="FZXBSK--GBK1-0;宋体" w:hint="eastAsia" w:ascii="楷体" w:hAnsi="楷体"/>
          <w:color w:val="000000"/>
          <w:kern w:val="0"/>
          <w:sz w:val="32"/>
          <w:szCs w:val="32"/>
        </w:rPr>
        <w:t>11</w:t>
      </w:r>
      <w:r>
        <w:rPr>
          <w:rFonts w:ascii="楷体" w:hAnsi="楷体" w:cs="FZXBSK--GBK1-0;宋体" w:hint="eastAsia" w:eastAsia="楷体"/>
          <w:color w:val="000000"/>
          <w:kern w:val="0"/>
          <w:sz w:val="32"/>
          <w:szCs w:val="32"/>
        </w:rPr>
        <w:t>日辽宁省第十三届人民代表大会</w:t>
      </w:r>
    </w:p>
    <w:p>
      <w:pPr>
        <w:pStyle w:val="Normal"/>
        <w:keepNext w:val="false"/>
        <w:keepLines w:val="false"/>
        <w:pageBreakBefore w:val="false"/>
        <w:widowControl w:val="false"/>
        <w:kinsoku w:val="true"/>
        <w:overflowPunct w:val="true"/>
        <w:autoSpaceDE w:val="true"/>
        <w:bidi w:val="0"/>
        <w:snapToGrid w:val="false"/>
        <w:spacing w:lineRule="exact" w:line="578"/>
        <w:jc w:val="center"/>
        <w:textAlignment w:val="auto"/>
        <w:rPr>
          <w:rFonts w:ascii="楷体" w:hAnsi="楷体" w:eastAsia="楷体" w:cs="FZXBSK--GBK1-0;宋体" w:hint="eastAsia"/>
          <w:color w:val="000000"/>
          <w:kern w:val="0"/>
          <w:sz w:val="32"/>
          <w:szCs w:val="32"/>
        </w:rPr>
      </w:pPr>
      <w:r>
        <w:rPr>
          <w:rFonts w:ascii="楷体" w:hAnsi="楷体" w:cs="FZXBSK--GBK1-0;宋体" w:hint="eastAsia" w:eastAsia="楷体"/>
          <w:color w:val="000000"/>
          <w:kern w:val="0"/>
          <w:sz w:val="32"/>
          <w:szCs w:val="32"/>
        </w:rPr>
        <w:t>常务委员会第十八次会议通过）</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辽宁省第十三届人民代表大会常务委员会第十八次会议，听取了省财政厅厅长霍步刚受省人民政府委托对《关于辽宁省应税大气污染物和水污染物环境保护税适用税额调整方案（草案）》所作的说明，并对调整方案进行了审议</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会议同意省人民代表大会财政经济委员会的审查结果报告，决定批准辽宁省应税大气污染物和水污染物环境保护税适用税额调整标准</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本调整方案自</w:t>
      </w:r>
      <w:r>
        <w:rPr>
          <w:rFonts w:eastAsia="仿宋_GB2312" w:cs="仿宋_GB2312" w:hint="eastAsia" w:ascii="仿宋_GB2312" w:hAnsi="仿宋_GB2312"/>
          <w:color w:val="000000"/>
          <w:kern w:val="0"/>
          <w:sz w:val="32"/>
          <w:szCs w:val="32"/>
        </w:rPr>
        <w:t>2020</w:t>
      </w:r>
      <w:r>
        <w:rPr>
          <w:rFonts w:ascii="仿宋_GB2312" w:hAnsi="仿宋_GB2312" w:cs="仿宋_GB2312" w:hint="eastAsia" w:eastAsia="仿宋_GB2312"/>
          <w:color w:val="000000"/>
          <w:kern w:val="0"/>
          <w:sz w:val="32"/>
          <w:szCs w:val="32"/>
        </w:rPr>
        <w:t>年</w:t>
      </w:r>
      <w:r>
        <w:rPr>
          <w:rFonts w:eastAsia="仿宋_GB2312" w:cs="仿宋_GB2312" w:hint="eastAsia" w:ascii="仿宋_GB2312" w:hAnsi="仿宋_GB2312"/>
          <w:color w:val="000000"/>
          <w:kern w:val="0"/>
          <w:sz w:val="32"/>
          <w:szCs w:val="32"/>
        </w:rPr>
        <w:t>7</w:t>
      </w:r>
      <w:r>
        <w:rPr>
          <w:rFonts w:ascii="仿宋_GB2312" w:hAnsi="仿宋_GB2312" w:cs="仿宋_GB2312" w:hint="eastAsia" w:eastAsia="仿宋_GB2312"/>
          <w:color w:val="000000"/>
          <w:kern w:val="0"/>
          <w:sz w:val="32"/>
          <w:szCs w:val="32"/>
        </w:rPr>
        <w:t>月</w:t>
      </w:r>
      <w:r>
        <w:rPr>
          <w:rFonts w:eastAsia="仿宋_GB2312" w:cs="仿宋_GB2312"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00"/>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0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关于辽宁省应税大气污染物和水污染物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环境保护税适用税额调整方案</w:t>
      </w:r>
    </w:p>
    <w:p>
      <w:pPr>
        <w:pStyle w:val="Normal"/>
        <w:keepNext w:val="false"/>
        <w:keepLines w:val="false"/>
        <w:pageBreakBefore w:val="false"/>
        <w:widowControl w:val="false"/>
        <w:kinsoku w:val="true"/>
        <w:overflowPunct w:val="true"/>
        <w:autoSpaceDE w:val="true"/>
        <w:bidi w:val="0"/>
        <w:snapToGrid w:val="false"/>
        <w:spacing w:lineRule="atLeast" w:line="578"/>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78"/>
        <w:ind w:firstLineChars="200" w:startChars="0" w:start="0" w:endChars="0" w:end="0"/>
        <w:jc w:val="both"/>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按照《中华人民共和国环境保护税法》第六条相关规定，为更好发挥环境保护税的调节和导向作用，结合我省实际，按主要污染因子差别化设置大气污染物和水污染物环境保护税适用税额，具体调整如下</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78"/>
        <w:ind w:firstLineChars="200" w:startChars="0" w:start="0" w:endChars="0" w:end="0"/>
        <w:jc w:val="both"/>
        <w:textAlignment w:val="auto"/>
        <w:rPr>
          <w:rFonts w:ascii="黑体" w:hAnsi="黑体" w:eastAsia="黑体" w:cs="仿宋"/>
          <w:sz w:val="32"/>
          <w:szCs w:val="32"/>
        </w:rPr>
      </w:pPr>
      <w:r>
        <w:rPr>
          <w:rFonts w:ascii="黑体" w:hAnsi="黑体" w:cs="仿宋" w:hint="eastAsia" w:eastAsia="黑体"/>
          <w:sz w:val="32"/>
          <w:szCs w:val="32"/>
        </w:rPr>
        <w:t>一、大气污染物适用税额</w:t>
      </w:r>
    </w:p>
    <w:p>
      <w:pPr>
        <w:pStyle w:val="Normal"/>
        <w:keepNext w:val="false"/>
        <w:keepLines w:val="false"/>
        <w:pageBreakBefore w:val="false"/>
        <w:widowControl w:val="false"/>
        <w:kinsoku w:val="true"/>
        <w:overflowPunct w:val="true"/>
        <w:autoSpaceDE w:val="true"/>
        <w:bidi w:val="0"/>
        <w:snapToGrid w:val="false"/>
        <w:spacing w:lineRule="atLeast" w:line="578"/>
        <w:ind w:firstLineChars="200" w:startChars="0" w:start="0" w:endChars="0" w:end="0"/>
        <w:jc w:val="both"/>
        <w:textAlignment w:val="auto"/>
        <w:rPr>
          <w:rFonts w:ascii="仿宋_GB2312" w:hAnsi="仿宋_GB2312" w:eastAsia="仿宋_GB2312"/>
          <w:sz w:val="32"/>
          <w:szCs w:val="32"/>
        </w:rPr>
      </w:pPr>
      <w:r>
        <w:rPr>
          <w:rFonts w:ascii="仿宋_GB2312" w:hAnsi="仿宋_GB2312" w:cs="仿宋" w:hint="eastAsia" w:eastAsia="仿宋_GB2312"/>
          <w:sz w:val="32"/>
          <w:szCs w:val="32"/>
        </w:rPr>
        <w:t>大气污染物中的二氧化硫（</w:t>
      </w:r>
      <w:r>
        <w:rPr>
          <w:rFonts w:eastAsia="仿宋_GB2312" w:cs="仿宋" w:hint="eastAsia" w:ascii="仿宋_GB2312" w:hAnsi="仿宋_GB2312"/>
          <w:sz w:val="32"/>
          <w:szCs w:val="32"/>
        </w:rPr>
        <w:t>SO</w:t>
      </w:r>
      <w:r>
        <w:rPr>
          <w:rFonts w:eastAsia="仿宋_GB2312" w:cs="仿宋" w:hint="eastAsia" w:ascii="仿宋_GB2312" w:hAnsi="仿宋_GB2312"/>
          <w:sz w:val="32"/>
          <w:szCs w:val="32"/>
          <w:vertAlign w:val="subscript"/>
        </w:rPr>
        <w:t>2</w:t>
      </w:r>
      <w:r>
        <w:rPr>
          <w:rFonts w:ascii="仿宋_GB2312" w:hAnsi="仿宋_GB2312" w:cs="仿宋" w:hint="eastAsia" w:eastAsia="仿宋_GB2312"/>
          <w:sz w:val="32"/>
          <w:szCs w:val="32"/>
        </w:rPr>
        <w:t>）和氮氧化物（</w:t>
      </w:r>
      <w:r>
        <w:rPr>
          <w:rFonts w:eastAsia="仿宋_GB2312" w:cs="仿宋" w:hint="eastAsia" w:ascii="仿宋_GB2312" w:hAnsi="仿宋_GB2312"/>
          <w:sz w:val="32"/>
          <w:szCs w:val="32"/>
        </w:rPr>
        <w:t>NO</w:t>
      </w:r>
      <w:r>
        <w:rPr>
          <w:rFonts w:eastAsia="仿宋_GB2312" w:cs="仿宋" w:hint="eastAsia" w:ascii="仿宋_GB2312" w:hAnsi="仿宋_GB2312"/>
          <w:sz w:val="32"/>
          <w:szCs w:val="32"/>
          <w:vertAlign w:val="subscript"/>
        </w:rPr>
        <w:t>X</w:t>
      </w:r>
      <w:r>
        <w:rPr>
          <w:rFonts w:ascii="仿宋_GB2312" w:hAnsi="仿宋_GB2312" w:cs="仿宋" w:hint="eastAsia" w:eastAsia="仿宋_GB2312"/>
          <w:sz w:val="32"/>
          <w:szCs w:val="32"/>
        </w:rPr>
        <w:t>）的适用税额为</w:t>
      </w:r>
      <w:r>
        <w:rPr>
          <w:rFonts w:eastAsia="仿宋_GB2312" w:hint="eastAsia"/>
          <w:sz w:val="32"/>
          <w:szCs w:val="32"/>
        </w:rPr>
        <w:t>2.4</w:t>
      </w:r>
      <w:r>
        <w:rPr>
          <w:rFonts w:ascii="仿宋_GB2312" w:hAnsi="仿宋_GB2312" w:hint="eastAsia" w:eastAsia="仿宋_GB2312"/>
          <w:sz w:val="32"/>
          <w:szCs w:val="32"/>
        </w:rPr>
        <w:t>元</w:t>
      </w:r>
      <w:r>
        <w:rPr>
          <w:rFonts w:eastAsia="仿宋_GB2312" w:ascii="仿宋_GB2312" w:hAnsi="仿宋_GB2312"/>
          <w:sz w:val="32"/>
          <w:szCs w:val="32"/>
        </w:rPr>
        <w:t>/</w:t>
      </w:r>
      <w:r>
        <w:rPr>
          <w:rFonts w:ascii="仿宋_GB2312" w:hAnsi="仿宋_GB2312" w:hint="eastAsia" w:eastAsia="仿宋_GB2312"/>
          <w:sz w:val="32"/>
          <w:szCs w:val="32"/>
        </w:rPr>
        <w:t>污染当量，其他污染物的适用税额为</w:t>
      </w:r>
      <w:r>
        <w:rPr>
          <w:rFonts w:eastAsia="仿宋_GB2312" w:hint="eastAsia"/>
          <w:sz w:val="32"/>
          <w:szCs w:val="32"/>
        </w:rPr>
        <w:t>1.2</w:t>
      </w:r>
      <w:r>
        <w:rPr>
          <w:rFonts w:ascii="仿宋_GB2312" w:hAnsi="仿宋_GB2312" w:hint="eastAsia" w:eastAsia="仿宋_GB2312"/>
          <w:sz w:val="32"/>
          <w:szCs w:val="32"/>
        </w:rPr>
        <w:t>元</w:t>
      </w:r>
      <w:r>
        <w:rPr>
          <w:rFonts w:eastAsia="仿宋_GB2312" w:ascii="仿宋_GB2312" w:hAnsi="仿宋_GB2312"/>
          <w:sz w:val="32"/>
          <w:szCs w:val="32"/>
        </w:rPr>
        <w:t>/</w:t>
      </w:r>
      <w:r>
        <w:rPr>
          <w:rFonts w:ascii="仿宋_GB2312" w:hAnsi="仿宋_GB2312" w:hint="eastAsia" w:eastAsia="仿宋_GB2312"/>
          <w:sz w:val="32"/>
          <w:szCs w:val="32"/>
        </w:rPr>
        <w:t>污染当量。</w:t>
      </w:r>
    </w:p>
    <w:p>
      <w:pPr>
        <w:pStyle w:val="Normal"/>
        <w:keepNext w:val="false"/>
        <w:keepLines w:val="false"/>
        <w:pageBreakBefore w:val="false"/>
        <w:widowControl w:val="false"/>
        <w:kinsoku w:val="true"/>
        <w:overflowPunct w:val="true"/>
        <w:autoSpaceDE w:val="true"/>
        <w:bidi w:val="0"/>
        <w:snapToGrid w:val="false"/>
        <w:spacing w:lineRule="atLeast" w:line="578"/>
        <w:ind w:firstLineChars="200" w:startChars="0" w:start="0" w:endChars="0" w:end="0"/>
        <w:jc w:val="both"/>
        <w:textAlignment w:val="auto"/>
        <w:rPr>
          <w:rFonts w:ascii="黑体" w:hAnsi="黑体" w:eastAsia="黑体" w:cs="黑体"/>
          <w:sz w:val="32"/>
          <w:szCs w:val="32"/>
        </w:rPr>
      </w:pPr>
      <w:r>
        <w:rPr>
          <w:rFonts w:ascii="黑体" w:hAnsi="黑体" w:cs="黑体" w:hint="eastAsia" w:eastAsia="黑体"/>
          <w:sz w:val="32"/>
          <w:szCs w:val="32"/>
        </w:rPr>
        <w:t>二、水污染物适用税额</w:t>
      </w:r>
    </w:p>
    <w:p>
      <w:pPr>
        <w:pStyle w:val="Normal"/>
        <w:keepNext w:val="false"/>
        <w:keepLines w:val="false"/>
        <w:pageBreakBefore w:val="false"/>
        <w:widowControl w:val="false"/>
        <w:kinsoku w:val="true"/>
        <w:overflowPunct w:val="true"/>
        <w:autoSpaceDE w:val="true"/>
        <w:bidi w:val="0"/>
        <w:snapToGrid w:val="false"/>
        <w:spacing w:lineRule="atLeast" w:line="578"/>
        <w:ind w:firstLineChars="200" w:startChars="0" w:start="0" w:endChars="0" w:end="0"/>
        <w:jc w:val="both"/>
        <w:textAlignment w:val="auto"/>
        <w:rPr>
          <w:rFonts w:ascii="仿宋_GB2312" w:hAnsi="仿宋_GB2312" w:eastAsia="仿宋_GB2312"/>
          <w:sz w:val="32"/>
          <w:szCs w:val="32"/>
        </w:rPr>
      </w:pPr>
      <w:r>
        <w:rPr>
          <w:rFonts w:ascii="仿宋_GB2312" w:hAnsi="仿宋_GB2312" w:cs="仿宋" w:hint="eastAsia" w:eastAsia="仿宋_GB2312"/>
          <w:sz w:val="32"/>
          <w:szCs w:val="32"/>
        </w:rPr>
        <w:t>水污染物中的化学需氧量（</w:t>
      </w:r>
      <w:r>
        <w:rPr>
          <w:rFonts w:eastAsia="仿宋_GB2312" w:cs="仿宋" w:hint="eastAsia" w:ascii="仿宋_GB2312" w:hAnsi="仿宋_GB2312"/>
          <w:sz w:val="32"/>
          <w:szCs w:val="32"/>
        </w:rPr>
        <w:t>COD</w:t>
      </w:r>
      <w:r>
        <w:rPr>
          <w:rFonts w:ascii="仿宋_GB2312" w:hAnsi="仿宋_GB2312" w:cs="仿宋" w:hint="eastAsia" w:eastAsia="仿宋_GB2312"/>
          <w:sz w:val="32"/>
          <w:szCs w:val="32"/>
        </w:rPr>
        <w:t>）和氨氮（</w:t>
      </w:r>
      <w:r>
        <w:rPr>
          <w:rFonts w:eastAsia="仿宋_GB2312" w:cs="仿宋" w:hint="eastAsia" w:ascii="仿宋_GB2312" w:hAnsi="仿宋_GB2312"/>
          <w:sz w:val="32"/>
          <w:szCs w:val="32"/>
        </w:rPr>
        <w:t>NH</w:t>
      </w:r>
      <w:r>
        <w:rPr>
          <w:rFonts w:ascii="仿宋_GB2312" w:hAnsi="仿宋_GB2312" w:cs="仿宋" w:hint="eastAsia" w:eastAsia="仿宋_GB2312"/>
          <w:sz w:val="32"/>
          <w:szCs w:val="32"/>
        </w:rPr>
        <w:t>）的适用税额为</w:t>
      </w:r>
      <w:r>
        <w:rPr>
          <w:rFonts w:eastAsia="仿宋_GB2312" w:hint="eastAsia"/>
          <w:sz w:val="32"/>
          <w:szCs w:val="32"/>
        </w:rPr>
        <w:t>2.8</w:t>
      </w:r>
      <w:r>
        <w:rPr>
          <w:rFonts w:ascii="仿宋_GB2312" w:hAnsi="仿宋_GB2312" w:hint="eastAsia" w:eastAsia="仿宋_GB2312"/>
          <w:sz w:val="32"/>
          <w:szCs w:val="32"/>
        </w:rPr>
        <w:t>元</w:t>
      </w:r>
      <w:r>
        <w:rPr>
          <w:rFonts w:eastAsia="仿宋_GB2312" w:ascii="仿宋_GB2312" w:hAnsi="仿宋_GB2312"/>
          <w:sz w:val="32"/>
          <w:szCs w:val="32"/>
        </w:rPr>
        <w:t>/</w:t>
      </w:r>
      <w:r>
        <w:rPr>
          <w:rFonts w:ascii="仿宋_GB2312" w:hAnsi="仿宋_GB2312" w:hint="eastAsia" w:eastAsia="仿宋_GB2312"/>
          <w:sz w:val="32"/>
          <w:szCs w:val="32"/>
        </w:rPr>
        <w:t>污染当量，其他污染物的适用税额为</w:t>
      </w:r>
      <w:r>
        <w:rPr>
          <w:rFonts w:eastAsia="仿宋_GB2312" w:hint="eastAsia"/>
          <w:sz w:val="32"/>
          <w:szCs w:val="32"/>
        </w:rPr>
        <w:t>1.4</w:t>
      </w:r>
      <w:r>
        <w:rPr>
          <w:rFonts w:ascii="仿宋_GB2312" w:hAnsi="仿宋_GB2312" w:hint="eastAsia" w:eastAsia="仿宋_GB2312"/>
          <w:sz w:val="32"/>
          <w:szCs w:val="32"/>
        </w:rPr>
        <w:t>元</w:t>
      </w:r>
      <w:r>
        <w:rPr>
          <w:rFonts w:eastAsia="仿宋_GB2312" w:ascii="仿宋_GB2312" w:hAnsi="仿宋_GB2312"/>
          <w:sz w:val="32"/>
          <w:szCs w:val="32"/>
        </w:rPr>
        <w:t>/</w:t>
      </w:r>
      <w:r>
        <w:rPr>
          <w:rFonts w:ascii="仿宋_GB2312" w:hAnsi="仿宋_GB2312" w:hint="eastAsia" w:eastAsia="仿宋_GB2312"/>
          <w:sz w:val="32"/>
          <w:szCs w:val="32"/>
        </w:rPr>
        <w:t>污染当量。</w:t>
      </w:r>
    </w:p>
    <w:p>
      <w:pPr>
        <w:pStyle w:val="Normal"/>
        <w:keepNext w:val="false"/>
        <w:keepLines w:val="false"/>
        <w:pageBreakBefore w:val="false"/>
        <w:widowControl w:val="false"/>
        <w:kinsoku w:val="true"/>
        <w:overflowPunct w:val="true"/>
        <w:autoSpaceDE w:val="true"/>
        <w:bidi w:val="0"/>
        <w:spacing w:lineRule="atLeast" w:line="578"/>
        <w:ind w:firstLineChars="200" w:startChars="0" w:start="0" w:endChars="0" w:end="0"/>
        <w:jc w:val="both"/>
        <w:textAlignment w:val="auto"/>
        <w:rPr>
          <w:rFonts w:ascii="黑体" w:hAnsi="黑体" w:eastAsia="黑体" w:cs="黑体"/>
          <w:sz w:val="32"/>
          <w:szCs w:val="32"/>
        </w:rPr>
      </w:pPr>
      <w:r>
        <w:rPr>
          <w:rFonts w:ascii="黑体" w:hAnsi="黑体" w:cs="仿宋" w:hint="eastAsia" w:eastAsia="黑体"/>
          <w:sz w:val="32"/>
          <w:szCs w:val="32"/>
        </w:rPr>
        <w:t>三、本方案自</w:t>
      </w:r>
      <w:r>
        <w:rPr>
          <w:rFonts w:eastAsia="黑体" w:cs="仿宋" w:hint="eastAsia" w:ascii="黑体" w:hAnsi="黑体"/>
          <w:sz w:val="32"/>
          <w:szCs w:val="32"/>
        </w:rPr>
        <w:t>2020</w:t>
      </w:r>
      <w:r>
        <w:rPr>
          <w:rFonts w:ascii="黑体" w:hAnsi="黑体" w:cs="仿宋" w:hint="eastAsia" w:eastAsia="黑体"/>
          <w:sz w:val="32"/>
          <w:szCs w:val="32"/>
        </w:rPr>
        <w:t>年</w:t>
      </w:r>
      <w:r>
        <w:rPr>
          <w:rFonts w:eastAsia="黑体" w:cs="仿宋" w:hint="eastAsia" w:ascii="黑体" w:hAnsi="黑体"/>
          <w:sz w:val="32"/>
          <w:szCs w:val="32"/>
        </w:rPr>
        <w:t>7</w:t>
      </w:r>
      <w:r>
        <w:rPr>
          <w:rFonts w:ascii="黑体" w:hAnsi="黑体" w:cs="仿宋" w:hint="eastAsia" w:eastAsia="黑体"/>
          <w:sz w:val="32"/>
          <w:szCs w:val="32"/>
        </w:rPr>
        <w:t>月</w:t>
      </w:r>
      <w:r>
        <w:rPr>
          <w:rFonts w:eastAsia="黑体" w:cs="仿宋" w:hint="eastAsia" w:ascii="黑体" w:hAnsi="黑体"/>
          <w:sz w:val="32"/>
          <w:szCs w:val="32"/>
        </w:rPr>
        <w:t>1</w:t>
      </w:r>
      <w:r>
        <w:rPr>
          <w:rFonts w:ascii="黑体" w:hAnsi="黑体" w:cs="仿宋" w:hint="eastAsia" w:eastAsia="黑体"/>
          <w:sz w:val="32"/>
          <w:szCs w:val="32"/>
        </w:rPr>
        <w:t>日起施行。</w:t>
      </w:r>
    </w:p>
    <w:p>
      <w:pPr>
        <w:pStyle w:val="NormalNew"/>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b/>
          <w:color w:val="000000"/>
          <w:sz w:val="32"/>
          <w:szCs w:val="32"/>
        </w:rPr>
      </w:pPr>
      <w:r>
        <w:rPr>
          <w:rFonts w:eastAsia="宋体" w:cs="宋体" w:hint="eastAsia" w:ascii="宋体" w:hAnsi="宋体"/>
          <w:b/>
          <w:color w:val="000000"/>
          <w:sz w:val="32"/>
          <w:szCs w:val="32"/>
        </w:rPr>
      </w:r>
    </w:p>
    <w:p>
      <w:pPr>
        <w:pStyle w:val="NormalNew"/>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b/>
          <w:color w:val="000000"/>
          <w:sz w:val="32"/>
        </w:rPr>
      </w:pPr>
      <w:r>
        <w:rPr>
          <w:rFonts w:eastAsia="宋体" w:cs="宋体" w:hint="eastAsia" w:ascii="宋体" w:hAnsi="宋体"/>
          <w:b/>
          <w:color w:val="000000"/>
          <w:sz w:val="32"/>
        </w:rPr>
      </w:r>
    </w:p>
    <w:p>
      <w:pPr>
        <w:pStyle w:val="NormalNew"/>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宋体" w:hAnsi="宋体" w:eastAsia="宋体" w:cs="宋体" w:hint="eastAsia"/>
          <w:b/>
          <w:color w:val="000000"/>
          <w:sz w:val="32"/>
        </w:rPr>
      </w:pPr>
      <w:r>
        <w:rPr>
          <w:rFonts w:eastAsia="宋体" w:cs="宋体" w:hint="eastAsia" w:ascii="宋体" w:hAnsi="宋体"/>
          <w:b/>
          <w:color w:val="000000"/>
          <w:sz w:val="32"/>
        </w:rPr>
      </w:r>
    </w:p>
    <w:p>
      <w:pPr>
        <w:pStyle w:val="Normal"/>
        <w:keepNext w:val="false"/>
        <w:keepLines w:val="false"/>
        <w:pageBreakBefore w:val="false"/>
        <w:widowControl w:val="false"/>
        <w:kinsoku w:val="true"/>
        <w:overflowPunct w:val="true"/>
        <w:autoSpaceDE w:val="true"/>
        <w:bidi w:val="0"/>
        <w:snapToGrid w:val="false"/>
        <w:spacing w:lineRule="exact" w:line="578"/>
        <w:ind w:firstLineChars="200" w:startChars="0" w:start="0" w:endChars="0" w:end="0"/>
        <w:textAlignment w:val="auto"/>
        <w:rPr>
          <w:rFonts w:ascii="仿宋_GB2312" w:hAnsi="仿宋_GB2312" w:eastAsia="仿宋_GB2312" w:cs="仿宋_GB2312" w:hint="eastAsia"/>
          <w:b/>
          <w:color w:val="000000"/>
          <w:kern w:val="0"/>
          <w:sz w:val="32"/>
          <w:szCs w:val="32"/>
        </w:rPr>
      </w:pPr>
      <w:r>
        <w:rPr>
          <w:rFonts w:eastAsia="仿宋_GB2312" w:cs="仿宋_GB2312" w:hint="eastAsia" w:ascii="仿宋_GB2312" w:hAnsi="仿宋_GB2312"/>
          <w:b/>
          <w:color w:val="000000"/>
          <w:kern w:val="0"/>
          <w:sz w:val="32"/>
          <w:szCs w:val="32"/>
        </w:rPr>
      </w:r>
    </w:p>
    <w:p>
      <w:pPr>
        <w:pStyle w:val="Normal"/>
        <w:keepNext w:val="false"/>
        <w:keepLines w:val="false"/>
        <w:pageBreakBefore w:val="false"/>
        <w:widowControl w:val="false"/>
        <w:kinsoku w:val="true"/>
        <w:overflowPunct w:val="true"/>
        <w:autoSpaceDE w:val="true"/>
        <w:bidi w:val="0"/>
        <w:spacing w:lineRule="exact" w:line="578"/>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sectPr>
      <w:footerReference w:type="default" r:id="rId2"/>
      <w:type w:val="nextPage"/>
      <w:pgSz w:w="11906" w:h="16838"/>
      <w:pgMar w:left="1587" w:right="1474" w:gutter="0" w:header="0" w:top="2098" w:footer="147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仿宋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-180975</wp:posOffset>
              </wp:positionV>
              <wp:extent cx="584200" cy="241300"/>
              <wp:effectExtent l="0" t="0" r="0" b="0"/>
              <wp:wrapNone/>
              <wp:docPr id="1" name="Frame1"/>
              <a:graphic xmlns:a="http://schemas.openxmlformats.org/drawingml/2006/main">
                <a:graphicData uri="http://schemas.microsoft.com/office/word/2010/wordprocessingShape">
                  <wps:wsp>
                    <wps:cNvSpPr txBox="1"/>
                    <wps:spPr>
                      <a:xfrm>
                        <a:off x="0" y="0"/>
                        <a:ext cx="584200" cy="241300"/>
                      </a:xfrm>
                      <a:prstGeom prst="rect"/>
                      <a:solidFill>
                        <a:srgbClr val="FFFFFF">
                          <a:alpha val="0"/>
                        </a:srgbClr>
                      </a:solidFill>
                    </wps:spPr>
                    <wps:txbx>
                      <w:txbxContent>
                        <w:p>
                          <w:pPr>
                            <w:pStyle w:val="Footer"/>
                            <w:rPr/>
                          </w:pPr>
                          <w:r>
                            <w:rPr>
                              <w:rFonts w:eastAsia="仿宋" w:cs="仿宋" w:hint="eastAsia" w:ascii="仿宋" w:hAnsi="仿宋"/>
                              <w:sz w:val="28"/>
                              <w:szCs w:val="28"/>
                            </w:rPr>
                            <w:t xml:space="preserve">— </w:t>
                          </w:r>
                          <w:r>
                            <w:rPr>
                              <w:rFonts w:eastAsia="宋体" w:cs="Times New Roman"/>
                              <w:sz w:val="28"/>
                              <w:szCs w:val="28"/>
                            </w:rPr>
                            <w:fldChar w:fldCharType="begin"/>
                          </w:r>
                          <w:r>
                            <w:rPr>
                              <w:rFonts w:eastAsia="宋体" w:cs="Times New Roman"/>
                              <w:sz w:val="28"/>
                              <w:szCs w:val="28"/>
                            </w:rPr>
                            <w:instrText xml:space="preserve"> PAGE </w:instrText>
                          </w:r>
                          <w:r>
                            <w:rPr>
                              <w:rFonts w:eastAsia="宋体" w:cs="Times New Roman"/>
                              <w:sz w:val="28"/>
                              <w:szCs w:val="28"/>
                            </w:rPr>
                            <w:fldChar w:fldCharType="separate"/>
                          </w:r>
                          <w:r>
                            <w:rPr>
                              <w:rFonts w:eastAsia="宋体" w:cs="Times New Roman"/>
                              <w:sz w:val="28"/>
                              <w:szCs w:val="28"/>
                            </w:rPr>
                            <w:t>2</w:t>
                          </w:r>
                          <w:r>
                            <w:rPr>
                              <w:rFonts w:eastAsia="宋体" w:cs="Times New Roman"/>
                              <w:sz w:val="28"/>
                              <w:szCs w:val="28"/>
                            </w:rPr>
                            <w:fldChar w:fldCharType="end"/>
                          </w:r>
                          <w:r>
                            <w:rPr>
                              <w:rFonts w:eastAsia="宋体" w:cs="Times New Roman" w:hint="eastAsia"/>
                              <w:sz w:val="28"/>
                              <w:szCs w:val="28"/>
                            </w:rPr>
                            <w:t xml:space="preserve"> </w:t>
                          </w:r>
                          <w:r>
                            <w:rPr>
                              <w:rFonts w:eastAsia="仿宋" w:cs="仿宋" w:hint="eastAsia" w:ascii="仿宋" w:hAnsi="仿宋"/>
                              <w:sz w:val="28"/>
                              <w:szCs w:val="28"/>
                            </w:rPr>
                            <w:t>—</w:t>
                          </w:r>
                        </w:p>
                      </w:txbxContent>
                    </wps:txbx>
                    <wps:bodyPr anchor="t" lIns="635" tIns="635" rIns="635" bIns="635">
                      <a:spAutoFit/>
                    </wps:bodyPr>
                  </wps:wsp>
                </a:graphicData>
              </a:graphic>
            </wp:anchor>
          </w:drawing>
        </mc:Choice>
        <mc:Fallback>
          <w:pict>
            <v:rect fillcolor="#FFFFFF" style="position:absolute;rotation:-0;width:46pt;height:19pt;mso-wrap-distance-left:9.05pt;mso-wrap-distance-right:0pt;mso-wrap-distance-top:0pt;mso-wrap-distance-bottom:0pt;margin-top:-14.25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仿宋" w:cs="仿宋" w:hint="eastAsia" w:ascii="仿宋" w:hAnsi="仿宋"/>
                        <w:sz w:val="28"/>
                        <w:szCs w:val="28"/>
                      </w:rPr>
                      <w:t xml:space="preserve">— </w:t>
                    </w:r>
                    <w:r>
                      <w:rPr>
                        <w:rFonts w:eastAsia="宋体" w:cs="Times New Roman"/>
                        <w:sz w:val="28"/>
                        <w:szCs w:val="28"/>
                      </w:rPr>
                      <w:fldChar w:fldCharType="begin"/>
                    </w:r>
                    <w:r>
                      <w:rPr>
                        <w:rFonts w:eastAsia="宋体" w:cs="Times New Roman"/>
                        <w:sz w:val="28"/>
                        <w:szCs w:val="28"/>
                      </w:rPr>
                      <w:instrText xml:space="preserve"> PAGE </w:instrText>
                    </w:r>
                    <w:r>
                      <w:rPr>
                        <w:rFonts w:eastAsia="宋体" w:cs="Times New Roman"/>
                        <w:sz w:val="28"/>
                        <w:szCs w:val="28"/>
                      </w:rPr>
                      <w:fldChar w:fldCharType="separate"/>
                    </w:r>
                    <w:r>
                      <w:rPr>
                        <w:rFonts w:eastAsia="宋体" w:cs="Times New Roman"/>
                        <w:sz w:val="28"/>
                        <w:szCs w:val="28"/>
                      </w:rPr>
                      <w:t>2</w:t>
                    </w:r>
                    <w:r>
                      <w:rPr>
                        <w:rFonts w:eastAsia="宋体" w:cs="Times New Roman"/>
                        <w:sz w:val="28"/>
                        <w:szCs w:val="28"/>
                      </w:rPr>
                      <w:fldChar w:fldCharType="end"/>
                    </w:r>
                    <w:r>
                      <w:rPr>
                        <w:rFonts w:eastAsia="宋体" w:cs="Times New Roman" w:hint="eastAsia"/>
                        <w:sz w:val="28"/>
                        <w:szCs w:val="28"/>
                      </w:rPr>
                      <w:t xml:space="preserve"> </w:t>
                    </w:r>
                    <w:r>
                      <w:rPr>
                        <w:rFonts w:eastAsia="仿宋" w:cs="仿宋" w:hint="eastAsia" w:ascii="仿宋" w:hAnsi="仿宋"/>
                        <w:sz w:val="28"/>
                        <w:szCs w:val="28"/>
                      </w:rPr>
                      <w:t>—</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NormalNew">
    <w:name w:val="Normal New"/>
    <w:qFormat/>
    <w:pPr>
      <w:widowControl w:val="false"/>
      <w:bidi w:val="0"/>
      <w:jc w:val="both"/>
    </w:pPr>
    <w:rPr>
      <w:rFonts w:ascii="Times New Roman" w:hAnsi="Times New Roman" w:eastAsia="宋体" w:cs="黑体" w:hint="eastAsia"/>
      <w:color w:val="auto"/>
      <w:kern w:val="2"/>
      <w:sz w:val="21"/>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2020-02-17T12:49:00Z</dcterms:created>
  <dc:creator>ANDY</dc:creator>
  <dc:description/>
  <dc:language>en-US</dc:language>
  <cp:lastModifiedBy/>
  <dcterms:modified xsi:type="dcterms:W3CDTF">2020-06-08T16:37:52Z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