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70"/>
        <w:ind w:firstLineChars="0" w:firstLine="0" w:startChars="0" w:start="0" w:endChars="0" w:end="0"/>
        <w:jc w:val="center"/>
        <w:textAlignment w:val="auto"/>
        <w:rPr>
          <w:rFonts w:ascii="宋体" w:hAnsi="宋体" w:cs="宋体" w:hint="eastAsia"/>
          <w:b/>
          <w:color w:val="000000"/>
          <w:sz w:val="32"/>
          <w:szCs w:val="32"/>
        </w:rPr>
      </w:pPr>
      <w:r>
        <w:rPr>
          <w:rFonts w:cs="宋体" w:hint="eastAsia" w:ascii="宋体" w:hAnsi="宋体"/>
          <w:b/>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0" w:firstLine="0" w:startChars="0" w:start="0" w:endChars="0" w:end="0"/>
        <w:jc w:val="center"/>
        <w:textAlignment w:val="auto"/>
        <w:rPr>
          <w:rFonts w:ascii="宋体" w:hAnsi="宋体" w:cs="宋体" w:hint="eastAsia"/>
          <w:b/>
          <w:color w:val="000000"/>
          <w:sz w:val="32"/>
          <w:szCs w:val="32"/>
        </w:rPr>
      </w:pPr>
      <w:r>
        <w:rPr>
          <w:rFonts w:cs="宋体" w:hint="eastAsia" w:ascii="宋体" w:hAnsi="宋体"/>
          <w:b/>
          <w:color w:val="000000"/>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70"/>
        <w:ind w:firstLineChars="0" w:firstLine="0" w:startChars="0" w:start="0" w:endChars="0" w:end="0"/>
        <w:jc w:val="center"/>
        <w:textAlignment w:val="auto"/>
        <w:outlineLvl w:val="0"/>
        <w:rPr>
          <w:rFonts w:ascii="宋体" w:hAnsi="宋体" w:cs="宋体" w:hint="eastAsia"/>
          <w:b/>
          <w:color w:val="000000"/>
          <w:sz w:val="44"/>
          <w:szCs w:val="44"/>
        </w:rPr>
      </w:pPr>
      <w:r>
        <w:rPr>
          <w:rFonts w:ascii="宋体" w:hAnsi="宋体" w:cs="宋体" w:hint="eastAsia"/>
          <w:b w:val="false"/>
          <w:bCs/>
          <w:color w:val="000000"/>
          <w:sz w:val="44"/>
          <w:szCs w:val="44"/>
        </w:rPr>
        <w:t>辽宁省水文条例</w:t>
      </w:r>
    </w:p>
    <w:p>
      <w:pPr>
        <w:pStyle w:val="Normal"/>
        <w:keepNext w:val="false"/>
        <w:keepLines w:val="false"/>
        <w:pageBreakBefore w:val="false"/>
        <w:widowControl w:val="false"/>
        <w:kinsoku w:val="true"/>
        <w:overflowPunct w:val="true"/>
        <w:autoSpaceDE w:val="true"/>
        <w:bidi w:val="0"/>
        <w:snapToGrid w:val="true"/>
        <w:spacing w:lineRule="exact" w:line="570"/>
        <w:ind w:firstLineChars="0" w:firstLine="0" w:startChars="0" w:start="0" w:endChars="0" w:end="0"/>
        <w:jc w:val="center"/>
        <w:textAlignment w:val="auto"/>
        <w:rPr>
          <w:rFonts w:ascii="宋体" w:hAnsi="宋体" w:eastAsia="宋体" w:cs="宋体" w:hint="eastAsia"/>
          <w:b/>
          <w:color w:val="000000"/>
          <w:sz w:val="32"/>
          <w:szCs w:val="44"/>
        </w:rPr>
      </w:pPr>
      <w:r>
        <w:rPr>
          <w:rFonts w:eastAsia="宋体" w:cs="宋体" w:hint="eastAsia" w:ascii="宋体" w:hAnsi="宋体"/>
          <w:b/>
          <w:color w:val="000000"/>
          <w:sz w:val="32"/>
          <w:szCs w:val="44"/>
        </w:rPr>
      </w:r>
    </w:p>
    <w:p>
      <w:pPr>
        <w:pStyle w:val="Normal"/>
        <w:keepNext w:val="false"/>
        <w:keepLines w:val="false"/>
        <w:pageBreakBefore w:val="false"/>
        <w:widowControl w:val="false"/>
        <w:tabs>
          <w:tab w:val="clear" w:pos="420"/>
          <w:tab w:val="left" w:pos="640" w:leader="none"/>
        </w:tabs>
        <w:kinsoku w:val="true"/>
        <w:overflowPunct w:val="true"/>
        <w:autoSpaceDE w:val="true"/>
        <w:bidi w:val="0"/>
        <w:snapToGrid w:val="true"/>
        <w:spacing w:lineRule="exact" w:line="570"/>
        <w:ind w:firstLineChars="0" w:firstLine="0" w:startChars="200" w:endChars="200"/>
        <w:textAlignment w:val="auto"/>
        <w:rPr>
          <w:rFonts w:ascii="楷体" w:hAnsi="楷体" w:eastAsia="楷体" w:cs="楷体" w:hint="eastAsia"/>
          <w:color w:val="000000"/>
          <w:sz w:val="32"/>
          <w:szCs w:val="32"/>
        </w:rPr>
      </w:pPr>
      <w:r>
        <w:rPr>
          <w:rFonts w:ascii="楷体" w:hAnsi="楷体" w:cs="楷体" w:hint="eastAsia" w:eastAsia="楷体"/>
          <w:color w:val="000000"/>
          <w:sz w:val="32"/>
          <w:szCs w:val="32"/>
        </w:rPr>
        <w:t>（</w:t>
      </w:r>
      <w:r>
        <w:rPr>
          <w:rFonts w:eastAsia="楷体" w:cs="楷体" w:hint="eastAsia" w:ascii="楷体" w:hAnsi="楷体"/>
          <w:color w:val="000000"/>
          <w:sz w:val="32"/>
          <w:szCs w:val="32"/>
        </w:rPr>
        <w:t>2011</w:t>
      </w:r>
      <w:r>
        <w:rPr>
          <w:rFonts w:ascii="楷体" w:hAnsi="楷体" w:cs="楷体" w:hint="eastAsia" w:eastAsia="楷体"/>
          <w:color w:val="000000"/>
          <w:sz w:val="32"/>
          <w:szCs w:val="32"/>
        </w:rPr>
        <w:t>年</w:t>
      </w:r>
      <w:r>
        <w:rPr>
          <w:rFonts w:eastAsia="楷体" w:cs="楷体" w:hint="eastAsia" w:ascii="楷体" w:hAnsi="楷体"/>
          <w:color w:val="000000"/>
          <w:sz w:val="32"/>
          <w:szCs w:val="32"/>
        </w:rPr>
        <w:t>7</w:t>
      </w:r>
      <w:r>
        <w:rPr>
          <w:rFonts w:ascii="楷体" w:hAnsi="楷体" w:cs="楷体" w:hint="eastAsia" w:eastAsia="楷体"/>
          <w:color w:val="000000"/>
          <w:sz w:val="32"/>
          <w:szCs w:val="32"/>
        </w:rPr>
        <w:t>月</w:t>
      </w:r>
      <w:r>
        <w:rPr>
          <w:rFonts w:eastAsia="楷体" w:cs="楷体" w:hint="eastAsia" w:ascii="楷体" w:hAnsi="楷体"/>
          <w:color w:val="000000"/>
          <w:sz w:val="32"/>
          <w:szCs w:val="32"/>
        </w:rPr>
        <w:t>29</w:t>
      </w:r>
      <w:r>
        <w:rPr>
          <w:rFonts w:ascii="楷体" w:hAnsi="楷体" w:cs="楷体" w:hint="eastAsia" w:eastAsia="楷体"/>
          <w:color w:val="000000"/>
          <w:sz w:val="32"/>
          <w:szCs w:val="32"/>
        </w:rPr>
        <w:t>日辽宁省第十一届人民代表大会常务委员会第二十四次会议通过  根据</w:t>
      </w:r>
      <w:r>
        <w:rPr>
          <w:rFonts w:eastAsia="楷体" w:cs="楷体" w:hint="eastAsia" w:ascii="楷体" w:hAnsi="楷体"/>
          <w:color w:val="000000"/>
          <w:sz w:val="32"/>
          <w:szCs w:val="32"/>
        </w:rPr>
        <w:t>2017</w:t>
      </w:r>
      <w:r>
        <w:rPr>
          <w:rFonts w:ascii="楷体" w:hAnsi="楷体" w:cs="楷体" w:hint="eastAsia" w:eastAsia="楷体"/>
          <w:color w:val="000000"/>
          <w:sz w:val="32"/>
          <w:szCs w:val="32"/>
        </w:rPr>
        <w:t>年</w:t>
      </w:r>
      <w:r>
        <w:rPr>
          <w:rFonts w:eastAsia="楷体" w:cs="楷体" w:hint="eastAsia" w:ascii="楷体" w:hAnsi="楷体"/>
          <w:color w:val="000000"/>
          <w:sz w:val="32"/>
          <w:szCs w:val="32"/>
        </w:rPr>
        <w:t>7</w:t>
      </w:r>
      <w:r>
        <w:rPr>
          <w:rFonts w:ascii="楷体" w:hAnsi="楷体" w:cs="楷体" w:hint="eastAsia" w:eastAsia="楷体"/>
          <w:color w:val="000000"/>
          <w:sz w:val="32"/>
          <w:szCs w:val="32"/>
        </w:rPr>
        <w:t>月</w:t>
      </w:r>
      <w:r>
        <w:rPr>
          <w:rFonts w:eastAsia="楷体" w:cs="楷体" w:hint="eastAsia" w:ascii="楷体" w:hAnsi="楷体"/>
          <w:color w:val="000000"/>
          <w:sz w:val="32"/>
          <w:szCs w:val="32"/>
        </w:rPr>
        <w:t>27</w:t>
      </w:r>
      <w:r>
        <w:rPr>
          <w:rFonts w:ascii="楷体" w:hAnsi="楷体" w:cs="楷体" w:hint="eastAsia" w:eastAsia="楷体"/>
          <w:color w:val="000000"/>
          <w:sz w:val="32"/>
          <w:szCs w:val="32"/>
        </w:rPr>
        <w:t>日辽宁省第十二届人民代表大会常务委员会第三十五次会议《</w:t>
      </w:r>
      <w:r>
        <w:rPr>
          <w:rFonts w:ascii="楷体" w:hAnsi="楷体" w:cs="楷体" w:hint="eastAsia" w:eastAsia="楷体"/>
          <w:bCs/>
          <w:color w:val="000000"/>
          <w:sz w:val="32"/>
          <w:szCs w:val="32"/>
        </w:rPr>
        <w:t>关于修改</w:t>
      </w:r>
      <w:r>
        <w:rPr>
          <w:rFonts w:ascii="仿宋" w:hAnsi="仿宋" w:cs="仿宋" w:hint="eastAsia" w:eastAsia="仿宋"/>
          <w:color w:val="000000"/>
          <w:sz w:val="32"/>
          <w:szCs w:val="32"/>
        </w:rPr>
        <w:t>〈</w:t>
      </w:r>
      <w:r>
        <w:rPr>
          <w:rFonts w:ascii="楷体" w:hAnsi="楷体" w:cs="楷体" w:hint="eastAsia" w:eastAsia="楷体"/>
          <w:color w:val="000000"/>
          <w:sz w:val="32"/>
          <w:szCs w:val="32"/>
        </w:rPr>
        <w:t>辽宁省机动车污染防治条例</w:t>
      </w:r>
      <w:r>
        <w:rPr>
          <w:rFonts w:ascii="仿宋" w:hAnsi="仿宋" w:cs="仿宋" w:hint="eastAsia" w:eastAsia="仿宋"/>
          <w:color w:val="000000"/>
          <w:sz w:val="32"/>
          <w:szCs w:val="32"/>
        </w:rPr>
        <w:t>〉</w:t>
      </w:r>
      <w:r>
        <w:rPr>
          <w:rFonts w:ascii="楷体" w:hAnsi="楷体" w:cs="楷体" w:hint="eastAsia" w:eastAsia="楷体"/>
          <w:color w:val="000000"/>
          <w:sz w:val="32"/>
          <w:szCs w:val="32"/>
        </w:rPr>
        <w:t xml:space="preserve">等部分地方性法规的决定》第一次修正  </w:t>
      </w:r>
      <w:r>
        <w:rPr>
          <w:rFonts w:ascii="楷体_GB2312" w:hAnsi="楷体_GB2312" w:cs="华文楷体" w:hint="eastAsia" w:eastAsia="楷体_GB2312"/>
          <w:color w:val="000000"/>
          <w:sz w:val="32"/>
          <w:szCs w:val="32"/>
        </w:rPr>
        <w:t>根据</w:t>
      </w:r>
      <w:r>
        <w:rPr>
          <w:rFonts w:eastAsia="楷体_GB2312" w:cs="华文楷体" w:hint="eastAsia" w:ascii="楷体_GB2312" w:hAnsi="楷体_GB2312"/>
          <w:color w:val="000000"/>
          <w:sz w:val="32"/>
          <w:szCs w:val="32"/>
        </w:rPr>
        <w:t>2020</w:t>
      </w:r>
      <w:r>
        <w:rPr>
          <w:rFonts w:ascii="楷体_GB2312" w:hAnsi="楷体_GB2312" w:cs="华文楷体" w:hint="eastAsia" w:eastAsia="楷体_GB2312"/>
          <w:color w:val="000000"/>
          <w:sz w:val="32"/>
          <w:szCs w:val="32"/>
        </w:rPr>
        <w:t>年</w:t>
      </w:r>
      <w:r>
        <w:rPr>
          <w:rFonts w:eastAsia="楷体_GB2312" w:cs="华文楷体" w:hint="eastAsia" w:ascii="楷体_GB2312" w:hAnsi="楷体_GB2312"/>
          <w:color w:val="000000"/>
          <w:sz w:val="32"/>
          <w:szCs w:val="32"/>
        </w:rPr>
        <w:t>3</w:t>
      </w:r>
      <w:r>
        <w:rPr>
          <w:rFonts w:ascii="楷体_GB2312" w:hAnsi="楷体_GB2312" w:cs="华文楷体" w:hint="eastAsia" w:eastAsia="楷体_GB2312"/>
          <w:color w:val="000000"/>
          <w:sz w:val="32"/>
          <w:szCs w:val="32"/>
        </w:rPr>
        <w:t>月</w:t>
      </w:r>
      <w:r>
        <w:rPr>
          <w:rFonts w:eastAsia="楷体_GB2312" w:cs="华文楷体" w:hint="eastAsia" w:ascii="楷体_GB2312" w:hAnsi="楷体_GB2312"/>
          <w:color w:val="000000"/>
          <w:sz w:val="32"/>
          <w:szCs w:val="32"/>
        </w:rPr>
        <w:t>30</w:t>
      </w:r>
      <w:r>
        <w:rPr>
          <w:rFonts w:ascii="楷体_GB2312" w:hAnsi="楷体_GB2312" w:cs="华文楷体" w:hint="eastAsia" w:eastAsia="楷体_GB2312"/>
          <w:color w:val="000000"/>
          <w:sz w:val="32"/>
          <w:szCs w:val="32"/>
        </w:rPr>
        <w:t>日辽宁省第十三届人民代表大会常务委员会第十七次会议</w:t>
      </w:r>
      <w:r>
        <w:rPr>
          <w:rFonts w:ascii="楷体" w:hAnsi="楷体" w:cs="楷体" w:hint="eastAsia" w:eastAsia="楷体"/>
          <w:color w:val="000000"/>
          <w:sz w:val="32"/>
          <w:szCs w:val="32"/>
        </w:rPr>
        <w:t>《关于修改</w:t>
      </w:r>
      <w:r>
        <w:rPr>
          <w:rFonts w:ascii="仿宋" w:hAnsi="仿宋" w:cs="仿宋" w:hint="eastAsia" w:eastAsia="仿宋"/>
          <w:color w:val="000000"/>
          <w:sz w:val="32"/>
          <w:szCs w:val="32"/>
        </w:rPr>
        <w:t>〈</w:t>
      </w:r>
      <w:r>
        <w:rPr>
          <w:rFonts w:ascii="楷体" w:hAnsi="楷体" w:cs="楷体" w:hint="eastAsia" w:eastAsia="楷体"/>
          <w:color w:val="000000"/>
          <w:sz w:val="32"/>
          <w:szCs w:val="32"/>
        </w:rPr>
        <w:t>辽宁省出版管理规定</w:t>
      </w:r>
      <w:r>
        <w:rPr>
          <w:rFonts w:ascii="仿宋" w:hAnsi="仿宋" w:cs="仿宋" w:hint="eastAsia" w:eastAsia="仿宋"/>
          <w:color w:val="000000"/>
          <w:sz w:val="32"/>
          <w:szCs w:val="32"/>
        </w:rPr>
        <w:t>〉</w:t>
      </w:r>
      <w:r>
        <w:rPr>
          <w:rFonts w:ascii="楷体" w:hAnsi="楷体" w:cs="楷体" w:hint="eastAsia" w:eastAsia="楷体"/>
          <w:color w:val="000000"/>
          <w:sz w:val="32"/>
          <w:szCs w:val="32"/>
        </w:rPr>
        <w:t>等</w:t>
      </w:r>
      <w:r>
        <w:rPr>
          <w:rFonts w:eastAsia="楷体" w:cs="楷体" w:hint="eastAsia" w:ascii="楷体" w:hAnsi="楷体"/>
          <w:color w:val="000000"/>
          <w:sz w:val="32"/>
          <w:szCs w:val="32"/>
        </w:rPr>
        <w:t>27</w:t>
      </w:r>
      <w:r>
        <w:rPr>
          <w:rFonts w:ascii="楷体" w:hAnsi="楷体" w:cs="楷体" w:hint="eastAsia" w:eastAsia="楷体"/>
          <w:color w:val="000000"/>
          <w:sz w:val="32"/>
          <w:szCs w:val="32"/>
        </w:rPr>
        <w:t>件地方性法规的决定》第二次修正）</w:t>
      </w:r>
    </w:p>
    <w:p>
      <w:pPr>
        <w:pStyle w:val="Normal"/>
        <w:keepNext w:val="false"/>
        <w:keepLines w:val="false"/>
        <w:pageBreakBefore w:val="false"/>
        <w:widowControl w:val="false"/>
        <w:tabs>
          <w:tab w:val="clear" w:pos="420"/>
          <w:tab w:val="left" w:pos="640" w:leader="none"/>
        </w:tabs>
        <w:kinsoku w:val="true"/>
        <w:overflowPunct w:val="true"/>
        <w:autoSpaceDE w:val="true"/>
        <w:bidi w:val="0"/>
        <w:snapToGrid w:val="true"/>
        <w:spacing w:lineRule="exact" w:line="570"/>
        <w:ind w:firstLineChars="0" w:firstLine="0" w:startChars="200" w:endChars="200"/>
        <w:textAlignment w:val="auto"/>
        <w:rPr>
          <w:rFonts w:ascii="宋体" w:hAnsi="宋体" w:eastAsia="宋体" w:cs="楷体" w:hint="eastAsia"/>
          <w:color w:val="000000"/>
          <w:sz w:val="32"/>
          <w:szCs w:val="32"/>
        </w:rPr>
      </w:pPr>
      <w:r>
        <w:rPr>
          <w:rFonts w:eastAsia="宋体" w:cs="楷体" w:hint="eastAsia" w:ascii="宋体" w:hAnsi="宋体"/>
          <w:color w:val="000000"/>
          <w:sz w:val="32"/>
          <w:szCs w:val="32"/>
        </w:rPr>
      </w:r>
    </w:p>
    <w:p>
      <w:pPr>
        <w:pStyle w:val="Normal"/>
        <w:keepNext w:val="false"/>
        <w:keepLines w:val="false"/>
        <w:pageBreakBefore w:val="false"/>
        <w:widowControl w:val="false"/>
        <w:numPr>
          <w:ilvl w:val="0"/>
          <w:numId w:val="0"/>
        </w:numPr>
        <w:tabs>
          <w:tab w:val="clear" w:pos="420"/>
          <w:tab w:val="left" w:pos="735" w:leader="none"/>
        </w:tabs>
        <w:kinsoku w:val="true"/>
        <w:overflowPunct w:val="true"/>
        <w:autoSpaceDE w:val="true"/>
        <w:bidi w:val="0"/>
        <w:snapToGrid w:val="true"/>
        <w:spacing w:lineRule="exact" w:line="570"/>
        <w:ind w:firstLineChars="0" w:firstLine="0" w:startChars="0" w:start="0" w:endChars="200"/>
        <w:jc w:val="center"/>
        <w:textAlignment w:val="auto"/>
        <w:outlineLvl w:val="0"/>
        <w:rPr>
          <w:rFonts w:ascii="楷体" w:hAnsi="楷体" w:eastAsia="楷体" w:cs="楷体" w:hint="eastAsia"/>
          <w:color w:val="000000"/>
          <w:sz w:val="32"/>
          <w:szCs w:val="32"/>
        </w:rPr>
      </w:pPr>
      <w:r>
        <w:rPr>
          <w:rFonts w:ascii="楷体" w:hAnsi="楷体" w:cs="楷体" w:hint="eastAsia" w:eastAsia="楷体"/>
          <w:color w:val="000000"/>
          <w:sz w:val="32"/>
          <w:szCs w:val="32"/>
        </w:rPr>
        <w:t>目    录</w:t>
      </w:r>
    </w:p>
    <w:p>
      <w:pPr>
        <w:pStyle w:val="Normal"/>
        <w:keepNext w:val="false"/>
        <w:keepLines w:val="false"/>
        <w:pageBreakBefore w:val="false"/>
        <w:widowControl w:val="false"/>
        <w:numPr>
          <w:ilvl w:val="0"/>
          <w:numId w:val="0"/>
        </w:numPr>
        <w:tabs>
          <w:tab w:val="clear" w:pos="420"/>
          <w:tab w:val="left" w:pos="735" w:leader="none"/>
        </w:tabs>
        <w:kinsoku w:val="true"/>
        <w:overflowPunct w:val="true"/>
        <w:autoSpaceDE w:val="true"/>
        <w:bidi w:val="0"/>
        <w:snapToGrid w:val="true"/>
        <w:spacing w:lineRule="exact" w:line="570"/>
        <w:ind w:firstLineChars="0" w:firstLine="0" w:startChars="0" w:start="0" w:endChars="200"/>
        <w:jc w:val="center"/>
        <w:textAlignment w:val="auto"/>
        <w:outlineLvl w:val="0"/>
        <w:rPr>
          <w:rFonts w:ascii="宋体" w:hAnsi="宋体" w:eastAsia="宋体" w:cs="楷体" w:hint="eastAsia"/>
          <w:color w:val="000000"/>
          <w:sz w:val="32"/>
          <w:szCs w:val="32"/>
        </w:rPr>
      </w:pPr>
      <w:r>
        <w:rPr>
          <w:rFonts w:eastAsia="宋体" w:cs="楷体" w:hint="eastAsia" w:ascii="宋体" w:hAnsi="宋体"/>
          <w:color w:val="000000"/>
          <w:sz w:val="32"/>
          <w:szCs w:val="32"/>
        </w:rPr>
      </w:r>
    </w:p>
    <w:p>
      <w:pPr>
        <w:pStyle w:val="Normal"/>
        <w:keepNext w:val="false"/>
        <w:keepLines w:val="false"/>
        <w:pageBreakBefore w:val="false"/>
        <w:widowControl w:val="false"/>
        <w:numPr>
          <w:ilvl w:val="0"/>
          <w:numId w:val="1"/>
        </w:numPr>
        <w:tabs>
          <w:tab w:val="clear" w:pos="420"/>
          <w:tab w:val="left" w:pos="640" w:leader="none"/>
        </w:tabs>
        <w:kinsoku w:val="true"/>
        <w:overflowPunct w:val="true"/>
        <w:autoSpaceDE w:val="true"/>
        <w:bidi w:val="0"/>
        <w:snapToGrid w:val="true"/>
        <w:spacing w:lineRule="exact" w:line="570"/>
        <w:ind w:firstLineChars="0" w:firstLine="0" w:startChars="0" w:start="0" w:endChars="200"/>
        <w:jc w:val="both"/>
        <w:textAlignment w:val="auto"/>
        <w:rPr>
          <w:rFonts w:ascii="楷体" w:hAnsi="楷体" w:eastAsia="楷体" w:cs="楷体" w:hint="eastAsia"/>
          <w:color w:val="000000"/>
          <w:sz w:val="32"/>
          <w:szCs w:val="32"/>
        </w:rPr>
      </w:pPr>
      <w:r>
        <w:rPr>
          <w:rFonts w:eastAsia="楷体" w:cs="楷体" w:hint="eastAsia" w:ascii="楷体" w:hAnsi="楷体"/>
          <w:color w:val="000000"/>
          <w:sz w:val="32"/>
          <w:szCs w:val="32"/>
        </w:rPr>
        <w:t xml:space="preserve"> </w:t>
      </w:r>
      <w:r>
        <w:rPr>
          <w:rFonts w:ascii="楷体" w:hAnsi="楷体" w:cs="楷体" w:hint="eastAsia" w:eastAsia="楷体"/>
          <w:color w:val="000000"/>
          <w:sz w:val="32"/>
          <w:szCs w:val="32"/>
        </w:rPr>
        <w:t>总则</w:t>
      </w:r>
    </w:p>
    <w:p>
      <w:pPr>
        <w:pStyle w:val="Normal"/>
        <w:keepNext w:val="false"/>
        <w:keepLines w:val="false"/>
        <w:pageBreakBefore w:val="false"/>
        <w:widowControl w:val="false"/>
        <w:numPr>
          <w:ilvl w:val="0"/>
          <w:numId w:val="1"/>
        </w:numPr>
        <w:tabs>
          <w:tab w:val="clear" w:pos="420"/>
          <w:tab w:val="left" w:pos="735" w:leader="none"/>
        </w:tabs>
        <w:kinsoku w:val="true"/>
        <w:overflowPunct w:val="true"/>
        <w:autoSpaceDE w:val="true"/>
        <w:bidi w:val="0"/>
        <w:snapToGrid w:val="true"/>
        <w:spacing w:lineRule="exact" w:line="570"/>
        <w:ind w:firstLineChars="0" w:firstLine="0" w:startChars="0" w:start="0" w:endChars="200"/>
        <w:jc w:val="both"/>
        <w:textAlignment w:val="auto"/>
        <w:rPr>
          <w:rFonts w:ascii="楷体" w:hAnsi="楷体" w:eastAsia="楷体" w:cs="楷体"/>
          <w:color w:val="000000"/>
          <w:sz w:val="32"/>
          <w:szCs w:val="32"/>
        </w:rPr>
      </w:pPr>
      <w:r>
        <w:rPr>
          <w:rFonts w:eastAsia="楷体" w:cs="楷体" w:hint="eastAsia" w:ascii="楷体" w:hAnsi="楷体"/>
          <w:color w:val="000000"/>
          <w:sz w:val="32"/>
          <w:szCs w:val="32"/>
        </w:rPr>
        <w:t xml:space="preserve"> </w:t>
      </w:r>
      <w:r>
        <w:rPr>
          <w:rFonts w:ascii="楷体" w:hAnsi="楷体" w:cs="楷体" w:hint="eastAsia" w:eastAsia="楷体"/>
          <w:color w:val="000000"/>
          <w:sz w:val="32"/>
          <w:szCs w:val="32"/>
        </w:rPr>
        <w:t>规划与建设</w:t>
      </w:r>
    </w:p>
    <w:p>
      <w:pPr>
        <w:pStyle w:val="Normal"/>
        <w:keepNext w:val="false"/>
        <w:keepLines w:val="false"/>
        <w:pageBreakBefore w:val="false"/>
        <w:widowControl w:val="false"/>
        <w:numPr>
          <w:ilvl w:val="0"/>
          <w:numId w:val="1"/>
        </w:numPr>
        <w:tabs>
          <w:tab w:val="clear" w:pos="420"/>
          <w:tab w:val="left" w:pos="735" w:leader="none"/>
        </w:tabs>
        <w:kinsoku w:val="true"/>
        <w:overflowPunct w:val="true"/>
        <w:autoSpaceDE w:val="true"/>
        <w:bidi w:val="0"/>
        <w:snapToGrid w:val="true"/>
        <w:spacing w:lineRule="exact" w:line="570"/>
        <w:ind w:firstLineChars="0" w:firstLine="0" w:startChars="0" w:start="0" w:endChars="200"/>
        <w:jc w:val="both"/>
        <w:textAlignment w:val="auto"/>
        <w:rPr>
          <w:rFonts w:ascii="楷体" w:hAnsi="楷体" w:eastAsia="楷体" w:cs="楷体"/>
          <w:color w:val="000000"/>
          <w:sz w:val="32"/>
          <w:szCs w:val="32"/>
        </w:rPr>
      </w:pPr>
      <w:r>
        <w:rPr>
          <w:rFonts w:eastAsia="楷体" w:cs="楷体" w:hint="eastAsia" w:ascii="楷体" w:hAnsi="楷体"/>
          <w:color w:val="000000"/>
          <w:sz w:val="32"/>
          <w:szCs w:val="32"/>
        </w:rPr>
        <w:t xml:space="preserve"> </w:t>
      </w:r>
      <w:r>
        <w:rPr>
          <w:rFonts w:ascii="楷体" w:hAnsi="楷体" w:cs="楷体" w:hint="eastAsia" w:eastAsia="楷体"/>
          <w:color w:val="000000"/>
          <w:sz w:val="32"/>
          <w:szCs w:val="32"/>
        </w:rPr>
        <w:t>检测与预报</w:t>
      </w:r>
    </w:p>
    <w:p>
      <w:pPr>
        <w:pStyle w:val="Normal"/>
        <w:keepNext w:val="false"/>
        <w:keepLines w:val="false"/>
        <w:pageBreakBefore w:val="false"/>
        <w:widowControl w:val="false"/>
        <w:numPr>
          <w:ilvl w:val="0"/>
          <w:numId w:val="1"/>
        </w:numPr>
        <w:tabs>
          <w:tab w:val="clear" w:pos="420"/>
          <w:tab w:val="left" w:pos="735" w:leader="none"/>
        </w:tabs>
        <w:kinsoku w:val="true"/>
        <w:overflowPunct w:val="true"/>
        <w:autoSpaceDE w:val="true"/>
        <w:bidi w:val="0"/>
        <w:snapToGrid w:val="true"/>
        <w:spacing w:lineRule="exact" w:line="570"/>
        <w:ind w:firstLineChars="0" w:firstLine="0" w:startChars="0" w:start="0" w:endChars="200"/>
        <w:jc w:val="both"/>
        <w:textAlignment w:val="auto"/>
        <w:rPr>
          <w:rFonts w:ascii="楷体" w:hAnsi="楷体" w:eastAsia="楷体" w:cs="楷体"/>
          <w:color w:val="000000"/>
          <w:sz w:val="32"/>
          <w:szCs w:val="32"/>
        </w:rPr>
      </w:pPr>
      <w:r>
        <w:rPr>
          <w:rFonts w:eastAsia="楷体" w:cs="楷体" w:hint="eastAsia" w:ascii="楷体" w:hAnsi="楷体"/>
          <w:color w:val="000000"/>
          <w:sz w:val="32"/>
          <w:szCs w:val="32"/>
        </w:rPr>
        <w:t xml:space="preserve"> </w:t>
      </w:r>
      <w:r>
        <w:rPr>
          <w:rFonts w:ascii="楷体" w:hAnsi="楷体" w:cs="楷体" w:hint="eastAsia" w:eastAsia="楷体"/>
          <w:color w:val="000000"/>
          <w:sz w:val="32"/>
          <w:szCs w:val="32"/>
        </w:rPr>
        <w:t>资料的汇交保管与使用</w:t>
      </w:r>
    </w:p>
    <w:p>
      <w:pPr>
        <w:pStyle w:val="Normal"/>
        <w:keepNext w:val="false"/>
        <w:keepLines w:val="false"/>
        <w:pageBreakBefore w:val="false"/>
        <w:widowControl w:val="false"/>
        <w:numPr>
          <w:ilvl w:val="0"/>
          <w:numId w:val="1"/>
        </w:numPr>
        <w:tabs>
          <w:tab w:val="clear" w:pos="420"/>
          <w:tab w:val="left" w:pos="735" w:leader="none"/>
        </w:tabs>
        <w:kinsoku w:val="true"/>
        <w:overflowPunct w:val="true"/>
        <w:autoSpaceDE w:val="true"/>
        <w:bidi w:val="0"/>
        <w:snapToGrid w:val="true"/>
        <w:spacing w:lineRule="exact" w:line="570"/>
        <w:ind w:firstLineChars="0" w:firstLine="0" w:startChars="0" w:start="0" w:endChars="200"/>
        <w:jc w:val="both"/>
        <w:textAlignment w:val="auto"/>
        <w:rPr>
          <w:rFonts w:ascii="楷体" w:hAnsi="楷体" w:eastAsia="楷体" w:cs="楷体"/>
          <w:color w:val="000000"/>
          <w:sz w:val="32"/>
          <w:szCs w:val="32"/>
        </w:rPr>
      </w:pPr>
      <w:r>
        <w:rPr>
          <w:rFonts w:eastAsia="楷体" w:cs="楷体" w:hint="eastAsia" w:ascii="楷体" w:hAnsi="楷体"/>
          <w:color w:val="000000"/>
          <w:sz w:val="32"/>
          <w:szCs w:val="32"/>
        </w:rPr>
        <w:t xml:space="preserve"> </w:t>
      </w:r>
      <w:r>
        <w:rPr>
          <w:rFonts w:ascii="楷体" w:hAnsi="楷体" w:cs="楷体" w:hint="eastAsia" w:eastAsia="楷体"/>
          <w:color w:val="000000"/>
          <w:sz w:val="32"/>
          <w:szCs w:val="32"/>
        </w:rPr>
        <w:t>设施与检测环境保护</w:t>
      </w:r>
    </w:p>
    <w:p>
      <w:pPr>
        <w:pStyle w:val="Normal"/>
        <w:keepNext w:val="false"/>
        <w:keepLines w:val="false"/>
        <w:pageBreakBefore w:val="false"/>
        <w:widowControl w:val="false"/>
        <w:numPr>
          <w:ilvl w:val="0"/>
          <w:numId w:val="1"/>
        </w:numPr>
        <w:tabs>
          <w:tab w:val="clear" w:pos="420"/>
          <w:tab w:val="left" w:pos="735" w:leader="none"/>
        </w:tabs>
        <w:kinsoku w:val="true"/>
        <w:overflowPunct w:val="true"/>
        <w:autoSpaceDE w:val="true"/>
        <w:bidi w:val="0"/>
        <w:snapToGrid w:val="true"/>
        <w:spacing w:lineRule="exact" w:line="570"/>
        <w:ind w:firstLineChars="0" w:firstLine="0" w:startChars="0" w:start="0" w:endChars="200"/>
        <w:jc w:val="both"/>
        <w:textAlignment w:val="auto"/>
        <w:rPr>
          <w:rFonts w:ascii="楷体" w:hAnsi="楷体" w:eastAsia="楷体" w:cs="楷体"/>
          <w:color w:val="000000"/>
          <w:sz w:val="32"/>
          <w:szCs w:val="32"/>
        </w:rPr>
      </w:pPr>
      <w:r>
        <w:rPr>
          <w:rFonts w:eastAsia="楷体" w:cs="楷体" w:hint="eastAsia" w:ascii="楷体" w:hAnsi="楷体"/>
          <w:color w:val="000000"/>
          <w:sz w:val="32"/>
          <w:szCs w:val="32"/>
        </w:rPr>
        <w:t xml:space="preserve"> </w:t>
      </w:r>
      <w:r>
        <w:rPr>
          <w:rFonts w:ascii="楷体" w:hAnsi="楷体" w:cs="楷体" w:hint="eastAsia" w:eastAsia="楷体"/>
          <w:color w:val="000000"/>
          <w:sz w:val="32"/>
          <w:szCs w:val="32"/>
        </w:rPr>
        <w:t>法律责任</w:t>
      </w:r>
    </w:p>
    <w:p>
      <w:pPr>
        <w:pStyle w:val="Normal"/>
        <w:keepNext w:val="false"/>
        <w:keepLines w:val="false"/>
        <w:pageBreakBefore w:val="false"/>
        <w:widowControl w:val="false"/>
        <w:numPr>
          <w:ilvl w:val="0"/>
          <w:numId w:val="1"/>
        </w:numPr>
        <w:tabs>
          <w:tab w:val="clear" w:pos="420"/>
          <w:tab w:val="left" w:pos="735" w:leader="none"/>
        </w:tabs>
        <w:kinsoku w:val="true"/>
        <w:overflowPunct w:val="true"/>
        <w:autoSpaceDE w:val="true"/>
        <w:bidi w:val="0"/>
        <w:snapToGrid w:val="true"/>
        <w:spacing w:lineRule="exact" w:line="570"/>
        <w:ind w:firstLineChars="0" w:firstLine="0" w:startChars="0" w:start="0" w:endChars="200"/>
        <w:jc w:val="both"/>
        <w:textAlignment w:val="auto"/>
        <w:rPr>
          <w:rFonts w:ascii="楷体" w:hAnsi="楷体" w:eastAsia="楷体" w:cs="楷体"/>
          <w:color w:val="000000"/>
          <w:sz w:val="32"/>
          <w:szCs w:val="32"/>
        </w:rPr>
      </w:pPr>
      <w:r>
        <w:rPr>
          <w:rFonts w:eastAsia="楷体" w:cs="楷体" w:hint="eastAsia" w:ascii="楷体" w:hAnsi="楷体"/>
          <w:color w:val="000000"/>
          <w:sz w:val="32"/>
          <w:szCs w:val="32"/>
        </w:rPr>
        <w:t xml:space="preserve"> </w:t>
      </w:r>
      <w:r>
        <w:rPr>
          <w:rFonts w:ascii="楷体" w:hAnsi="楷体" w:cs="楷体" w:hint="eastAsia" w:eastAsia="楷体"/>
          <w:color w:val="000000"/>
          <w:sz w:val="32"/>
          <w:szCs w:val="32"/>
        </w:rPr>
        <w:t>附则</w:t>
      </w:r>
    </w:p>
    <w:p>
      <w:pPr>
        <w:pStyle w:val="Normal"/>
        <w:keepNext w:val="false"/>
        <w:keepLines w:val="false"/>
        <w:pageBreakBefore w:val="false"/>
        <w:widowControl w:val="false"/>
        <w:kinsoku w:val="true"/>
        <w:overflowPunct w:val="true"/>
        <w:autoSpaceDE w:val="true"/>
        <w:bidi w:val="0"/>
        <w:snapToGrid w:val="true"/>
        <w:spacing w:lineRule="exact" w:line="570"/>
        <w:jc w:val="both"/>
        <w:textAlignment w:val="auto"/>
        <w:rPr>
          <w:rFonts w:ascii="宋体" w:hAnsi="宋体" w:eastAsia="楷体" w:cs="宋体" w:hint="eastAsia"/>
          <w:color w:val="000000"/>
          <w:sz w:val="32"/>
          <w:szCs w:val="44"/>
        </w:rPr>
      </w:pPr>
      <w:r>
        <w:rPr>
          <w:rFonts w:eastAsia="楷体" w:cs="宋体" w:hint="eastAsia" w:ascii="宋体" w:hAnsi="宋体"/>
          <w:color w:val="000000"/>
          <w:sz w:val="32"/>
          <w:szCs w:val="44"/>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70"/>
        <w:ind w:firstLineChars="950" w:startChars="0" w:start="0" w:endChars="0" w:end="0"/>
        <w:textAlignment w:val="auto"/>
        <w:outlineLvl w:val="0"/>
        <w:rPr>
          <w:rFonts w:ascii="黑体" w:hAnsi="黑体" w:eastAsia="黑体" w:cs="黑体" w:hint="eastAsia"/>
          <w:b w:val="false"/>
          <w:bCs/>
          <w:color w:val="000000"/>
          <w:sz w:val="32"/>
          <w:szCs w:val="32"/>
        </w:rPr>
      </w:pPr>
      <w:r>
        <w:rPr>
          <w:rFonts w:ascii="黑体" w:hAnsi="黑体" w:cs="黑体" w:hint="eastAsia" w:eastAsia="黑体"/>
          <w:b w:val="false"/>
          <w:bCs/>
          <w:color w:val="000000"/>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70"/>
        <w:ind w:firstLineChars="950" w:startChars="0" w:start="0" w:endChars="0" w:end="0"/>
        <w:textAlignment w:val="auto"/>
        <w:rPr>
          <w:rFonts w:ascii="宋体" w:hAnsi="宋体" w:eastAsia="宋体" w:cs="宋体" w:hint="eastAsia"/>
          <w:b w:val="false"/>
          <w:bCs/>
          <w:color w:val="000000"/>
          <w:sz w:val="32"/>
          <w:szCs w:val="32"/>
        </w:rPr>
      </w:pPr>
      <w:r>
        <w:rPr>
          <w:rFonts w:eastAsia="宋体" w:cs="宋体" w:hint="eastAsia" w:ascii="宋体" w:hAnsi="宋体"/>
          <w:b w:val="false"/>
          <w:bCs/>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hint="eastAsia"/>
          <w:color w:val="000000"/>
          <w:sz w:val="32"/>
          <w:szCs w:val="32"/>
        </w:rPr>
      </w:pPr>
      <w:r>
        <w:rPr>
          <w:rFonts w:ascii="黑体" w:hAnsi="黑体" w:cs="黑体" w:hint="eastAsia" w:eastAsia="黑体"/>
          <w:color w:val="000000"/>
          <w:sz w:val="32"/>
          <w:szCs w:val="32"/>
        </w:rPr>
        <w:t>第一条</w:t>
      </w:r>
      <w:r>
        <w:rPr>
          <w:rFonts w:ascii="仿宋_GB2312" w:hAnsi="仿宋_GB2312" w:hint="eastAsia" w:eastAsia="仿宋_GB2312"/>
          <w:color w:val="000000"/>
          <w:sz w:val="32"/>
          <w:szCs w:val="32"/>
        </w:rPr>
        <w:t xml:space="preserve">  为了加强水文管理，促进水文工作，更好地为开发、利用、节约、保护水资源和防灾减灾提供服务，根据《中华人民共和国水法》、《中华人民共和国防洪法》和《中华人民共和国水文条例》，结合本省实际，制定本条例。</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hint="eastAsia"/>
          <w:color w:val="000000"/>
          <w:sz w:val="32"/>
          <w:szCs w:val="32"/>
        </w:rPr>
      </w:pPr>
      <w:r>
        <w:rPr>
          <w:rFonts w:ascii="黑体" w:hAnsi="黑体" w:cs="黑体" w:hint="eastAsia" w:eastAsia="黑体"/>
          <w:color w:val="000000"/>
          <w:sz w:val="32"/>
          <w:szCs w:val="32"/>
        </w:rPr>
        <w:t>第二条</w:t>
      </w:r>
      <w:r>
        <w:rPr>
          <w:rFonts w:ascii="仿宋_GB2312" w:hAnsi="仿宋_GB2312" w:hint="eastAsia" w:eastAsia="仿宋_GB2312"/>
          <w:color w:val="000000"/>
          <w:sz w:val="32"/>
          <w:szCs w:val="32"/>
        </w:rPr>
        <w:t xml:space="preserve">  在本省行政区域内从事水文站网规划与建设，水文监测与预报，水资源调查评价，水文监测资料的汇交、保管与使用，水文设施与水文监测环境的保护等活动，适用本条例。</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hint="eastAsia"/>
          <w:color w:val="000000"/>
          <w:sz w:val="32"/>
          <w:szCs w:val="32"/>
        </w:rPr>
      </w:pPr>
      <w:r>
        <w:rPr>
          <w:rFonts w:ascii="黑体" w:hAnsi="黑体" w:cs="黑体" w:hint="eastAsia" w:eastAsia="黑体"/>
          <w:color w:val="000000"/>
          <w:sz w:val="32"/>
          <w:szCs w:val="32"/>
        </w:rPr>
        <w:t>第三条</w:t>
      </w:r>
      <w:r>
        <w:rPr>
          <w:rFonts w:ascii="仿宋_GB2312" w:hAnsi="仿宋_GB2312" w:hint="eastAsia" w:eastAsia="仿宋_GB2312"/>
          <w:color w:val="000000"/>
          <w:sz w:val="32"/>
          <w:szCs w:val="32"/>
        </w:rPr>
        <w:t xml:space="preserve">  </w:t>
      </w:r>
      <w:r>
        <w:rPr>
          <w:rFonts w:ascii="仿宋_GB2312" w:hAnsi="仿宋_GB2312" w:cs="宋体" w:hint="eastAsia" w:eastAsia="仿宋_GB2312"/>
          <w:color w:val="000000"/>
          <w:kern w:val="0"/>
          <w:sz w:val="32"/>
          <w:szCs w:val="32"/>
        </w:rPr>
        <w:t>水文事业是国民经济和社会发展的基础性公益事业。省人民政府应当将水文事业纳入国民经济和社会发展规划，并将水文事业所需经费列入本级财政预算，保障水文工作的正常开展。</w:t>
      </w:r>
      <w:r>
        <w:rPr>
          <w:rFonts w:ascii="仿宋_GB2312" w:hAnsi="仿宋_GB2312" w:hint="eastAsia" w:eastAsia="仿宋_GB2312"/>
          <w:color w:val="000000"/>
          <w:sz w:val="32"/>
          <w:szCs w:val="32"/>
        </w:rPr>
        <w:t>设区的市（以下简称市）、县（含县级市、区，下同）</w:t>
      </w:r>
      <w:r>
        <w:rPr>
          <w:rFonts w:ascii="仿宋_GB2312" w:hAnsi="仿宋_GB2312" w:cs="宋体" w:hint="eastAsia" w:eastAsia="仿宋_GB2312"/>
          <w:color w:val="000000"/>
          <w:kern w:val="0"/>
          <w:sz w:val="32"/>
          <w:szCs w:val="32"/>
        </w:rPr>
        <w:t>人民政府应当根据经济社会发展的需要，在政策措施、资金投入等方面支持和促进本行政区域水文事业的发展。</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hint="eastAsia"/>
          <w:color w:val="000000"/>
          <w:sz w:val="32"/>
          <w:szCs w:val="32"/>
        </w:rPr>
      </w:pPr>
      <w:r>
        <w:rPr>
          <w:rFonts w:ascii="黑体" w:hAnsi="黑体" w:cs="黑体" w:hint="eastAsia" w:eastAsia="黑体"/>
          <w:color w:val="000000"/>
          <w:sz w:val="32"/>
          <w:szCs w:val="32"/>
        </w:rPr>
        <w:t>第四条</w:t>
      </w:r>
      <w:r>
        <w:rPr>
          <w:rFonts w:ascii="仿宋_GB2312" w:hAnsi="仿宋_GB2312" w:hint="eastAsia" w:eastAsia="仿宋_GB2312"/>
          <w:color w:val="000000"/>
          <w:sz w:val="32"/>
          <w:szCs w:val="32"/>
        </w:rPr>
        <w:t xml:space="preserve">  省水行政主管部门主管本行政区域内的水文工作，其所属的省水文机构具体负责组织实施管理工作。</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省水文机构派驻到市、县的水文机构，具体负责组织实施派驻地的水文管理工作。</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黑体" w:hAnsi="黑体" w:eastAsia="黑体" w:hint="eastAsia"/>
          <w:color w:val="000000"/>
          <w:sz w:val="32"/>
          <w:szCs w:val="32"/>
        </w:rPr>
      </w:pPr>
      <w:r>
        <w:rPr>
          <w:rFonts w:ascii="黑体" w:hAnsi="黑体" w:cs="黑体" w:hint="eastAsia" w:eastAsia="黑体"/>
          <w:color w:val="000000"/>
          <w:sz w:val="32"/>
          <w:szCs w:val="32"/>
        </w:rPr>
        <w:t>第五条</w:t>
      </w:r>
      <w:r>
        <w:rPr>
          <w:rFonts w:ascii="仿宋_GB2312" w:hAnsi="仿宋_GB2312" w:hint="eastAsia" w:eastAsia="仿宋_GB2312"/>
          <w:color w:val="000000"/>
          <w:sz w:val="32"/>
          <w:szCs w:val="32"/>
        </w:rPr>
        <w:t xml:space="preserve">  省、市、县人民政府应当加强水文现代化设施建设和水文队伍建设，培养水文科技人才，鼓励和支持水文科技的研究、推广和应用，改善水文测站工作条件。</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黑体" w:hAnsi="黑体" w:eastAsia="黑体" w:hint="eastAsia"/>
          <w:color w:val="000000"/>
          <w:sz w:val="32"/>
          <w:szCs w:val="32"/>
        </w:rPr>
      </w:pPr>
      <w:r>
        <w:rPr>
          <w:rFonts w:eastAsia="黑体" w:hint="eastAsia" w:ascii="黑体" w:hAnsi="黑体"/>
          <w:color w:val="000000"/>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70"/>
        <w:ind w:firstLineChars="950" w:startChars="0" w:start="0" w:endChars="0" w:end="0"/>
        <w:textAlignment w:val="auto"/>
        <w:outlineLvl w:val="0"/>
        <w:rPr>
          <w:rFonts w:ascii="黑体" w:hAnsi="黑体" w:eastAsia="黑体" w:cs="黑体" w:hint="eastAsia"/>
          <w:b w:val="false"/>
          <w:bCs/>
          <w:color w:val="000000"/>
          <w:sz w:val="32"/>
          <w:szCs w:val="32"/>
        </w:rPr>
      </w:pPr>
      <w:r>
        <w:rPr>
          <w:rFonts w:ascii="黑体" w:hAnsi="黑体" w:cs="黑体" w:hint="eastAsia" w:eastAsia="黑体"/>
          <w:b w:val="false"/>
          <w:bCs/>
          <w:color w:val="000000"/>
          <w:sz w:val="32"/>
          <w:szCs w:val="32"/>
        </w:rPr>
        <w:t>第二章  规划与建设</w:t>
      </w:r>
    </w:p>
    <w:p>
      <w:pPr>
        <w:pStyle w:val="Normal"/>
        <w:keepNext w:val="false"/>
        <w:keepLines w:val="false"/>
        <w:pageBreakBefore w:val="false"/>
        <w:widowControl w:val="false"/>
        <w:kinsoku w:val="true"/>
        <w:overflowPunct w:val="true"/>
        <w:autoSpaceDE w:val="true"/>
        <w:bidi w:val="0"/>
        <w:snapToGrid w:val="true"/>
        <w:spacing w:lineRule="exact" w:line="570"/>
        <w:ind w:firstLineChars="800" w:startChars="0" w:start="0" w:endChars="0" w:end="0"/>
        <w:textAlignment w:val="auto"/>
        <w:rPr>
          <w:rFonts w:ascii="黑体" w:hAnsi="黑体" w:eastAsia="黑体" w:cs="黑体" w:hint="eastAsia"/>
          <w:b w:val="false"/>
          <w:bCs/>
          <w:color w:val="000000"/>
          <w:sz w:val="32"/>
          <w:szCs w:val="32"/>
        </w:rPr>
      </w:pPr>
      <w:r>
        <w:rPr>
          <w:rFonts w:eastAsia="黑体" w:cs="黑体" w:hint="eastAsia" w:ascii="黑体" w:hAnsi="黑体"/>
          <w:b w:val="false"/>
          <w:bCs/>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hint="eastAsia"/>
          <w:color w:val="000000"/>
          <w:sz w:val="32"/>
          <w:szCs w:val="32"/>
        </w:rPr>
      </w:pPr>
      <w:r>
        <w:rPr>
          <w:rFonts w:ascii="黑体" w:hAnsi="黑体" w:cs="黑体" w:hint="eastAsia" w:eastAsia="黑体"/>
          <w:color w:val="000000"/>
          <w:sz w:val="32"/>
          <w:szCs w:val="32"/>
        </w:rPr>
        <w:t>第六条</w:t>
      </w:r>
      <w:r>
        <w:rPr>
          <w:rFonts w:ascii="仿宋_GB2312" w:hAnsi="仿宋_GB2312" w:hint="eastAsia" w:eastAsia="仿宋_GB2312"/>
          <w:color w:val="000000"/>
          <w:sz w:val="32"/>
          <w:szCs w:val="32"/>
        </w:rPr>
        <w:t xml:space="preserve">  省水行政主管部门根据全国水文事业发展规划、流域水文事业发展规划和本省经济社会发展需要，组织编制全省水文事业发展规划，征求发展改革、财政、气象、自然资源、生态环境、交通运输、农业农村等有关部门意见后，报省人民政府批准实施，</w:t>
      </w:r>
      <w:r>
        <w:rPr>
          <w:rFonts w:ascii="仿宋_GB2312" w:hAnsi="仿宋_GB2312" w:cs="宋体" w:hint="eastAsia" w:eastAsia="仿宋_GB2312"/>
          <w:color w:val="000000"/>
          <w:kern w:val="0"/>
          <w:sz w:val="32"/>
          <w:szCs w:val="32"/>
        </w:rPr>
        <w:t>并报国务院水行政主管部门备案。</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cs="宋体" w:hint="eastAsia" w:eastAsia="仿宋_GB2312"/>
          <w:color w:val="000000"/>
          <w:kern w:val="0"/>
          <w:sz w:val="32"/>
          <w:szCs w:val="32"/>
        </w:rPr>
        <w:t>省水文机构应当根据全省水文事业发展规划以及国家水文技术标准、规范和规程，组织编制全省</w:t>
      </w:r>
      <w:r>
        <w:rPr>
          <w:rFonts w:ascii="仿宋_GB2312" w:hAnsi="仿宋_GB2312" w:hint="eastAsia" w:eastAsia="仿宋_GB2312"/>
          <w:color w:val="000000"/>
          <w:spacing w:val="8"/>
          <w:sz w:val="32"/>
          <w:szCs w:val="32"/>
        </w:rPr>
        <w:t>水文站网建设、水文基础设施建设、水文信息化建设等</w:t>
      </w:r>
      <w:r>
        <w:rPr>
          <w:rFonts w:ascii="仿宋_GB2312" w:hAnsi="仿宋_GB2312" w:cs="宋体" w:hint="eastAsia" w:eastAsia="仿宋_GB2312"/>
          <w:color w:val="000000"/>
          <w:kern w:val="0"/>
          <w:sz w:val="32"/>
          <w:szCs w:val="32"/>
        </w:rPr>
        <w:t>水文专业规划，</w:t>
      </w:r>
      <w:r>
        <w:rPr>
          <w:rFonts w:ascii="仿宋_GB2312" w:hAnsi="仿宋_GB2312" w:hint="eastAsia" w:eastAsia="仿宋_GB2312"/>
          <w:color w:val="000000"/>
          <w:sz w:val="32"/>
          <w:szCs w:val="32"/>
        </w:rPr>
        <w:t>报送</w:t>
      </w:r>
      <w:r>
        <w:rPr>
          <w:rFonts w:ascii="仿宋_GB2312" w:hAnsi="仿宋_GB2312" w:cs="宋体" w:hint="eastAsia" w:eastAsia="仿宋_GB2312"/>
          <w:color w:val="000000"/>
          <w:kern w:val="0"/>
          <w:sz w:val="32"/>
          <w:szCs w:val="32"/>
        </w:rPr>
        <w:t>省水行政主管部门，由省水行政主管部门征求有关部门意见后会同省发展改革部门批准实施。</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市、县水行政主管部门根据全省水文事业发展规划、水文专业规划和本行政区域经济社会发展需要，组织编制本行政区域水文事业发展规划，报本级人民政府批准实施，并报省水行政主管部门备案。</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调整水文事业发展规划和水文专业规划，应当报原批准机关批准。</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hint="eastAsia"/>
          <w:color w:val="000000"/>
          <w:sz w:val="32"/>
          <w:szCs w:val="32"/>
        </w:rPr>
      </w:pPr>
      <w:r>
        <w:rPr>
          <w:rFonts w:ascii="黑体" w:hAnsi="黑体" w:cs="黑体" w:hint="eastAsia" w:eastAsia="黑体"/>
          <w:color w:val="000000"/>
          <w:sz w:val="32"/>
          <w:szCs w:val="32"/>
        </w:rPr>
        <w:t>第七条</w:t>
      </w:r>
      <w:r>
        <w:rPr>
          <w:rFonts w:ascii="仿宋_GB2312" w:hAnsi="仿宋_GB2312" w:hint="eastAsia" w:eastAsia="仿宋_GB2312"/>
          <w:color w:val="000000"/>
          <w:sz w:val="32"/>
          <w:szCs w:val="32"/>
        </w:rPr>
        <w:t xml:space="preserve">  水文基础设施建设用地属于公益性事业建设用地的，由县以上人民政府及有关部门依法划拨。</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hint="eastAsia"/>
          <w:color w:val="000000"/>
          <w:sz w:val="32"/>
          <w:szCs w:val="32"/>
        </w:rPr>
      </w:pPr>
      <w:r>
        <w:rPr>
          <w:rFonts w:ascii="黑体" w:hAnsi="黑体" w:cs="黑体" w:hint="eastAsia" w:eastAsia="黑体"/>
          <w:color w:val="000000"/>
          <w:sz w:val="32"/>
          <w:szCs w:val="32"/>
        </w:rPr>
        <w:t>第八条</w:t>
      </w:r>
      <w:r>
        <w:rPr>
          <w:rFonts w:ascii="仿宋_GB2312" w:hAnsi="仿宋_GB2312" w:hint="eastAsia" w:eastAsia="仿宋_GB2312"/>
          <w:color w:val="000000"/>
          <w:sz w:val="32"/>
          <w:szCs w:val="32"/>
        </w:rPr>
        <w:t xml:space="preserve">  因气象、自然资源、生态环境、交通运输等需要设立的专用水文测站，以及市、县人民政府根据经济社会发展需要设立的专用水文测站，应当符合本行政区域水文事业发展规划。</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专用水文测站由设立单位建设和管理。设立单位委托所在地水文机构进行建设和管理的，其建设和管理经费由设立单位承担。</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hint="eastAsia"/>
          <w:color w:val="000000"/>
          <w:sz w:val="32"/>
          <w:szCs w:val="32"/>
        </w:rPr>
      </w:pPr>
      <w:r>
        <w:rPr>
          <w:rFonts w:ascii="黑体" w:hAnsi="黑体" w:cs="黑体" w:hint="eastAsia" w:eastAsia="黑体"/>
          <w:color w:val="000000"/>
          <w:sz w:val="32"/>
          <w:szCs w:val="32"/>
        </w:rPr>
        <w:t>第九条</w:t>
      </w:r>
      <w:r>
        <w:rPr>
          <w:rFonts w:ascii="仿宋_GB2312" w:hAnsi="仿宋_GB2312" w:hint="eastAsia" w:eastAsia="仿宋_GB2312"/>
          <w:color w:val="000000"/>
          <w:sz w:val="32"/>
          <w:szCs w:val="32"/>
        </w:rPr>
        <w:t xml:space="preserve">  专用水文测站和从事水文活动的科研院所、规划设计等其他单位，应当接受省水文机构的行业管理，执行国家规定的水文技术标准、规范和规程，保证水文监测质量。</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黑体" w:hAnsi="黑体" w:eastAsia="黑体" w:hint="eastAsia"/>
          <w:color w:val="000000"/>
          <w:sz w:val="32"/>
          <w:szCs w:val="32"/>
        </w:rPr>
      </w:pPr>
      <w:r>
        <w:rPr>
          <w:rFonts w:eastAsia="黑体" w:hint="eastAsia" w:ascii="黑体" w:hAnsi="黑体"/>
          <w:color w:val="000000"/>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70"/>
        <w:ind w:firstLineChars="850" w:startChars="0" w:start="0" w:endChars="0" w:end="0"/>
        <w:textAlignment w:val="auto"/>
        <w:outlineLvl w:val="0"/>
        <w:rPr>
          <w:rFonts w:ascii="宋体" w:hAnsi="宋体" w:cs="宋体" w:hint="eastAsia"/>
          <w:b/>
          <w:color w:val="000000"/>
          <w:sz w:val="32"/>
          <w:szCs w:val="32"/>
        </w:rPr>
      </w:pPr>
      <w:r>
        <w:rPr>
          <w:rFonts w:ascii="黑体" w:hAnsi="黑体" w:cs="黑体" w:hint="eastAsia" w:eastAsia="黑体"/>
          <w:b w:val="false"/>
          <w:bCs/>
          <w:color w:val="000000"/>
          <w:sz w:val="32"/>
          <w:szCs w:val="32"/>
        </w:rPr>
        <w:t>第三章  监测与预报</w:t>
      </w:r>
    </w:p>
    <w:p>
      <w:pPr>
        <w:pStyle w:val="Normal"/>
        <w:keepNext w:val="false"/>
        <w:keepLines w:val="false"/>
        <w:pageBreakBefore w:val="false"/>
        <w:widowControl w:val="false"/>
        <w:kinsoku w:val="true"/>
        <w:overflowPunct w:val="true"/>
        <w:autoSpaceDE w:val="true"/>
        <w:bidi w:val="0"/>
        <w:snapToGrid w:val="true"/>
        <w:spacing w:lineRule="exact" w:line="570"/>
        <w:ind w:firstLineChars="750" w:startChars="0" w:start="0" w:endChars="0" w:end="0"/>
        <w:textAlignment w:val="auto"/>
        <w:rPr>
          <w:rFonts w:ascii="宋体" w:hAnsi="宋体" w:cs="宋体" w:hint="eastAsia"/>
          <w:b/>
          <w:color w:val="000000"/>
          <w:sz w:val="32"/>
          <w:szCs w:val="32"/>
        </w:rPr>
      </w:pPr>
      <w:r>
        <w:rPr>
          <w:rFonts w:cs="宋体" w:hint="eastAsia" w:ascii="宋体" w:hAnsi="宋体"/>
          <w:b/>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hint="eastAsia"/>
          <w:color w:val="000000"/>
          <w:sz w:val="32"/>
          <w:szCs w:val="32"/>
        </w:rPr>
      </w:pPr>
      <w:r>
        <w:rPr>
          <w:rFonts w:ascii="黑体" w:hAnsi="黑体" w:cs="黑体" w:hint="eastAsia" w:eastAsia="黑体"/>
          <w:color w:val="000000"/>
          <w:sz w:val="32"/>
          <w:szCs w:val="32"/>
        </w:rPr>
        <w:t>第十条</w:t>
      </w:r>
      <w:r>
        <w:rPr>
          <w:rFonts w:ascii="仿宋_GB2312" w:hAnsi="仿宋_GB2312" w:hint="eastAsia" w:eastAsia="仿宋_GB2312"/>
          <w:color w:val="000000"/>
          <w:sz w:val="32"/>
          <w:szCs w:val="32"/>
        </w:rPr>
        <w:t xml:space="preserve">  水文机构应当对水功能区、饮用水水源保护区、重要取水口、入河排污口、跨界河流断面的水量、水质进行动态监测、评价，并将监测、评价结果报送水行政主管部门。</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hint="eastAsia"/>
          <w:color w:val="000000"/>
          <w:sz w:val="32"/>
          <w:szCs w:val="32"/>
        </w:rPr>
      </w:pPr>
      <w:r>
        <w:rPr>
          <w:rFonts w:ascii="黑体" w:hAnsi="黑体" w:cs="黑体" w:hint="eastAsia" w:eastAsia="黑体"/>
          <w:color w:val="000000"/>
          <w:sz w:val="32"/>
          <w:szCs w:val="32"/>
        </w:rPr>
        <w:t>第十一条</w:t>
      </w:r>
      <w:r>
        <w:rPr>
          <w:rFonts w:ascii="仿宋_GB2312" w:hAnsi="仿宋_GB2312" w:hint="eastAsia" w:eastAsia="仿宋_GB2312"/>
          <w:color w:val="000000"/>
          <w:sz w:val="32"/>
          <w:szCs w:val="32"/>
        </w:rPr>
        <w:t xml:space="preserve">  水文机构应当建立健全水文监测应急保障机制，对突发水污染事件、水环境生态变化进行跟踪监测和调查，及时将监测、调查情况和处理建议报所在地水行政主管部门和生态环境主管部门。</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hint="eastAsia"/>
          <w:color w:val="000000"/>
          <w:sz w:val="32"/>
          <w:szCs w:val="32"/>
        </w:rPr>
      </w:pPr>
      <w:r>
        <w:rPr>
          <w:rFonts w:ascii="黑体" w:hAnsi="黑体" w:cs="黑体" w:hint="eastAsia" w:eastAsia="黑体"/>
          <w:color w:val="000000"/>
          <w:sz w:val="32"/>
          <w:szCs w:val="32"/>
        </w:rPr>
        <w:t>第十二条</w:t>
      </w:r>
      <w:r>
        <w:rPr>
          <w:rFonts w:ascii="仿宋_GB2312" w:hAnsi="仿宋_GB2312" w:hint="eastAsia" w:eastAsia="仿宋_GB2312"/>
          <w:color w:val="000000"/>
          <w:sz w:val="32"/>
          <w:szCs w:val="32"/>
        </w:rPr>
        <w:t xml:space="preserve">  水文机构应当建立健全水情自动测报系统，采用现代科学技术对水文信息进行实时遥测、传送和处理，提高水情测报速度和预报精度。</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hint="eastAsia"/>
          <w:color w:val="000000"/>
          <w:sz w:val="32"/>
          <w:szCs w:val="32"/>
        </w:rPr>
      </w:pPr>
      <w:r>
        <w:rPr>
          <w:rFonts w:ascii="黑体" w:hAnsi="黑体" w:cs="黑体" w:hint="eastAsia" w:eastAsia="黑体"/>
          <w:color w:val="000000"/>
          <w:sz w:val="32"/>
          <w:szCs w:val="32"/>
        </w:rPr>
        <w:t>第十三条</w:t>
      </w:r>
      <w:r>
        <w:rPr>
          <w:rFonts w:ascii="仿宋_GB2312" w:hAnsi="仿宋_GB2312" w:hint="eastAsia" w:eastAsia="仿宋_GB2312"/>
          <w:color w:val="000000"/>
          <w:sz w:val="32"/>
          <w:szCs w:val="32"/>
        </w:rPr>
        <w:t xml:space="preserve">  承担水文情报预报任务的水文测站</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应当及时、准确地向县以上人民政府防汛抗旱指挥机构、水行政主管部门报告有关水文情报预报。不得漏报、迟报、瞒报、错报水文情报预报，不得伪造水文监测数据。</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承担水文情报预报的水文测站</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由防汛抗旱指挥机构确定。防汛抗旱指挥机构对报汛及时、准确的水文测站给予奖励。</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hint="eastAsia"/>
          <w:color w:val="000000"/>
          <w:sz w:val="32"/>
          <w:szCs w:val="32"/>
        </w:rPr>
      </w:pPr>
      <w:r>
        <w:rPr>
          <w:rFonts w:ascii="黑体" w:hAnsi="黑体" w:cs="黑体" w:hint="eastAsia" w:eastAsia="黑体"/>
          <w:color w:val="000000"/>
          <w:sz w:val="32"/>
          <w:szCs w:val="32"/>
        </w:rPr>
        <w:t>第十四条</w:t>
      </w:r>
      <w:r>
        <w:rPr>
          <w:rFonts w:ascii="黑体" w:hAnsi="黑体" w:hint="eastAsia" w:eastAsia="黑体"/>
          <w:color w:val="000000"/>
          <w:sz w:val="32"/>
          <w:szCs w:val="32"/>
        </w:rPr>
        <w:t xml:space="preserve">  </w:t>
      </w:r>
      <w:r>
        <w:rPr>
          <w:rFonts w:ascii="仿宋_GB2312" w:hAnsi="仿宋_GB2312" w:hint="eastAsia" w:eastAsia="仿宋_GB2312"/>
          <w:color w:val="000000"/>
          <w:sz w:val="32"/>
          <w:szCs w:val="32"/>
        </w:rPr>
        <w:t>重要河段、大中型闸坝、大中型水库（水电站）和承担重要防汛任务的小型水库、城市防洪工程及易发水旱灾害的旅游景区，其管理单位应当设立水文测站或者设置水文监测设施，并在水文机构的指导下，承担相应的水文监测和报汛任务。</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hint="eastAsia"/>
          <w:color w:val="000000"/>
          <w:sz w:val="32"/>
          <w:szCs w:val="32"/>
        </w:rPr>
      </w:pPr>
      <w:r>
        <w:rPr>
          <w:rFonts w:ascii="黑体" w:hAnsi="黑体" w:cs="黑体" w:hint="eastAsia" w:eastAsia="黑体"/>
          <w:color w:val="000000"/>
          <w:sz w:val="32"/>
          <w:szCs w:val="32"/>
        </w:rPr>
        <w:t>第十五条</w:t>
      </w:r>
      <w:r>
        <w:rPr>
          <w:rFonts w:ascii="仿宋_GB2312" w:hAnsi="仿宋_GB2312" w:hint="eastAsia" w:eastAsia="仿宋_GB2312"/>
          <w:color w:val="000000"/>
          <w:sz w:val="32"/>
          <w:szCs w:val="32"/>
        </w:rPr>
        <w:t xml:space="preserve">  水文情报预报实行统一发布制度。重要洪水情报预报、灾害性洪水情报预报和旱情分析预报，由省防汛抗旱指挥机构向社会发布；其他水文情报预报由省水行政主管部门或者省水文机构向社会发布。</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禁止其他单位和个人向社会发布水文情报预报。</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hint="eastAsia"/>
          <w:color w:val="000000"/>
          <w:sz w:val="32"/>
          <w:szCs w:val="32"/>
        </w:rPr>
      </w:pPr>
      <w:r>
        <w:rPr>
          <w:rFonts w:ascii="黑体" w:hAnsi="黑体" w:cs="黑体" w:hint="eastAsia" w:eastAsia="黑体"/>
          <w:color w:val="000000"/>
          <w:sz w:val="32"/>
          <w:szCs w:val="32"/>
        </w:rPr>
        <w:t>第十六条</w:t>
      </w:r>
      <w:r>
        <w:rPr>
          <w:rFonts w:ascii="仿宋_GB2312" w:hAnsi="仿宋_GB2312" w:hint="eastAsia" w:eastAsia="仿宋_GB2312"/>
          <w:color w:val="000000"/>
          <w:sz w:val="32"/>
          <w:szCs w:val="32"/>
        </w:rPr>
        <w:t xml:space="preserve">  省、市、县人民政府应当组织水文、气象等部门建立健全洪水、旱情灾害监测系统和预警预报系统。工业和信息化主管部门应当为水文监测和水文情报预报提供专用频点和信道，电力部门应当优先保证电力供应。</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hint="eastAsia"/>
          <w:color w:val="000000"/>
          <w:sz w:val="32"/>
          <w:szCs w:val="32"/>
        </w:rPr>
      </w:pPr>
      <w:r>
        <w:rPr>
          <w:rFonts w:ascii="黑体" w:hAnsi="黑体" w:cs="黑体" w:hint="eastAsia" w:eastAsia="黑体"/>
          <w:color w:val="000000"/>
          <w:sz w:val="32"/>
          <w:szCs w:val="32"/>
        </w:rPr>
        <w:t>第十七条</w:t>
      </w:r>
      <w:r>
        <w:rPr>
          <w:rFonts w:ascii="仿宋_GB2312" w:hAnsi="仿宋_GB2312" w:hint="eastAsia" w:eastAsia="仿宋_GB2312"/>
          <w:color w:val="000000"/>
          <w:sz w:val="32"/>
          <w:szCs w:val="32"/>
        </w:rPr>
        <w:t xml:space="preserve">  水行政主管部门根据经济社会的发展要求，会同有关部门组织相关单位开展水资源调查评价工作。水资源调查评价成果由省水行政主管部门组织有关部门和专家审定。审定通过的水资源调查评价成果可以作为评价本地区经济社会发展和实施水资源管理的依据。</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70"/>
        <w:ind w:firstLineChars="700" w:startChars="0" w:start="0" w:endChars="0" w:end="0"/>
        <w:textAlignment w:val="auto"/>
        <w:outlineLvl w:val="0"/>
        <w:rPr>
          <w:rFonts w:ascii="宋体" w:hAnsi="宋体" w:cs="宋体" w:hint="eastAsia"/>
          <w:b/>
          <w:color w:val="000000"/>
          <w:sz w:val="32"/>
          <w:szCs w:val="32"/>
        </w:rPr>
      </w:pPr>
      <w:r>
        <w:rPr>
          <w:rFonts w:ascii="黑体" w:hAnsi="黑体" w:cs="黑体" w:hint="eastAsia" w:eastAsia="黑体"/>
          <w:b w:val="false"/>
          <w:bCs/>
          <w:color w:val="000000"/>
          <w:sz w:val="32"/>
          <w:szCs w:val="32"/>
        </w:rPr>
        <w:t>第四章  资料的汇交保管与使用</w:t>
      </w:r>
    </w:p>
    <w:p>
      <w:pPr>
        <w:pStyle w:val="Normal"/>
        <w:keepNext w:val="false"/>
        <w:keepLines w:val="false"/>
        <w:pageBreakBefore w:val="false"/>
        <w:widowControl w:val="false"/>
        <w:kinsoku w:val="true"/>
        <w:overflowPunct w:val="true"/>
        <w:autoSpaceDE w:val="true"/>
        <w:bidi w:val="0"/>
        <w:snapToGrid w:val="true"/>
        <w:spacing w:lineRule="exact" w:line="570"/>
        <w:ind w:firstLineChars="650" w:startChars="0" w:start="0" w:endChars="0" w:end="0"/>
        <w:textAlignment w:val="auto"/>
        <w:rPr>
          <w:rFonts w:ascii="仿宋_GB2312" w:hAnsi="仿宋_GB2312" w:eastAsia="仿宋_GB2312" w:cs="宋体" w:hint="eastAsia"/>
          <w:b/>
          <w:color w:val="000000"/>
          <w:sz w:val="32"/>
          <w:szCs w:val="32"/>
        </w:rPr>
      </w:pPr>
      <w:r>
        <w:rPr>
          <w:rFonts w:eastAsia="仿宋_GB2312" w:cs="宋体" w:hint="eastAsia" w:ascii="仿宋_GB2312" w:hAnsi="仿宋_GB2312"/>
          <w:b/>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hint="eastAsia"/>
          <w:color w:val="000000"/>
          <w:sz w:val="32"/>
          <w:szCs w:val="32"/>
        </w:rPr>
      </w:pPr>
      <w:r>
        <w:rPr>
          <w:rFonts w:ascii="黑体" w:hAnsi="黑体" w:cs="黑体" w:hint="eastAsia" w:eastAsia="黑体"/>
          <w:color w:val="000000"/>
          <w:sz w:val="32"/>
          <w:szCs w:val="32"/>
        </w:rPr>
        <w:t>第十八条</w:t>
      </w:r>
      <w:r>
        <w:rPr>
          <w:rFonts w:ascii="仿宋_GB2312" w:hAnsi="仿宋_GB2312" w:hint="eastAsia" w:eastAsia="仿宋_GB2312"/>
          <w:color w:val="000000"/>
          <w:sz w:val="32"/>
          <w:szCs w:val="32"/>
        </w:rPr>
        <w:t xml:space="preserve">  水文监测资料实行统一汇交制度。</w:t>
      </w:r>
      <w:r>
        <w:rPr>
          <w:rFonts w:ascii="仿宋_GB2312" w:hAnsi="仿宋_GB2312" w:cs="宋体" w:hint="eastAsia" w:eastAsia="仿宋_GB2312"/>
          <w:color w:val="000000"/>
          <w:kern w:val="0"/>
          <w:sz w:val="32"/>
          <w:szCs w:val="32"/>
        </w:rPr>
        <w:t>从事地表水和地下水资源、水量、水质监测的单位以及其他从事水文监测的单位，</w:t>
      </w:r>
      <w:r>
        <w:rPr>
          <w:rFonts w:ascii="仿宋_GB2312" w:hAnsi="仿宋_GB2312" w:hint="eastAsia" w:eastAsia="仿宋_GB2312"/>
          <w:color w:val="000000"/>
          <w:sz w:val="32"/>
          <w:szCs w:val="32"/>
        </w:rPr>
        <w:t>应当于每年二月底前将上一年度的下列水文监测资料汇总、整编后，按照《中华人民共和国水文条例》的相关规定向水文机构汇交：</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（一）江河、渠道和水库的水位、流量、水质、水温、岸温、泥沙、冰情、水下地形；</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（二）水库蓄水变量、入库和出库流量；</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（三）取、用、引、排水工程的水量、水质、水温；</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（四）地下水水位、水质、水温、水量；</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（五）降水量、蒸发量、墒情、潮位；</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（六）省水文机构规定的其他水文监测资料。</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hint="eastAsia"/>
          <w:color w:val="000000"/>
          <w:sz w:val="32"/>
          <w:szCs w:val="32"/>
        </w:rPr>
      </w:pPr>
      <w:r>
        <w:rPr>
          <w:rFonts w:ascii="黑体" w:hAnsi="黑体" w:cs="黑体" w:hint="eastAsia" w:eastAsia="黑体"/>
          <w:color w:val="000000"/>
          <w:sz w:val="32"/>
          <w:szCs w:val="32"/>
        </w:rPr>
        <w:t>第十九条</w:t>
      </w:r>
      <w:r>
        <w:rPr>
          <w:rFonts w:ascii="仿宋_GB2312" w:hAnsi="仿宋_GB2312" w:hint="eastAsia" w:eastAsia="仿宋_GB2312"/>
          <w:color w:val="000000"/>
          <w:sz w:val="32"/>
          <w:szCs w:val="32"/>
        </w:rPr>
        <w:t xml:space="preserve">  水文监测资料实行共享制度。水文机构应当妥善存储和保管水文监测资料，建立水文数据库。水利、气象、自然资源、生态环境、交通运输等有关部门应当加强水文工作交流与合作，完善水文信息查询系统，构建水文信息综合处理共享平台。</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基本水文监测资料应当依法公开，但属于国家秘密的除外。</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hint="eastAsia"/>
          <w:color w:val="000000"/>
          <w:sz w:val="32"/>
          <w:szCs w:val="32"/>
        </w:rPr>
      </w:pPr>
      <w:r>
        <w:rPr>
          <w:rFonts w:ascii="黑体" w:hAnsi="黑体" w:cs="黑体" w:hint="eastAsia" w:eastAsia="黑体"/>
          <w:color w:val="000000"/>
          <w:sz w:val="32"/>
          <w:szCs w:val="32"/>
        </w:rPr>
        <w:t>第二十条</w:t>
      </w:r>
      <w:r>
        <w:rPr>
          <w:rFonts w:ascii="仿宋_GB2312" w:hAnsi="仿宋_GB2312" w:hint="eastAsia" w:eastAsia="仿宋_GB2312"/>
          <w:color w:val="000000"/>
          <w:sz w:val="32"/>
          <w:szCs w:val="32"/>
        </w:rPr>
        <w:t xml:space="preserve">  水文机构对国家机关决策和防灾减灾、国防建设、公共安全、环境保护等公益事业需要使用的水文监测资料和成果，应当无偿提供。未经水文机构同意，有关部门、单位对无偿取得的水文监测资料和成果不得转让、转借、出版以及用于其他营利性活动。</w:t>
      </w:r>
    </w:p>
    <w:p>
      <w:pPr>
        <w:pStyle w:val="Normal"/>
        <w:keepNext w:val="false"/>
        <w:keepLines w:val="false"/>
        <w:pageBreakBefore w:val="false"/>
        <w:widowControl w:val="false"/>
        <w:kinsoku w:val="true"/>
        <w:overflowPunct w:val="true"/>
        <w:autoSpaceDE w:val="true"/>
        <w:bidi w:val="0"/>
        <w:snapToGrid w:val="true"/>
        <w:spacing w:lineRule="exact" w:line="570"/>
        <w:ind w:firstLine="645" w:end="0"/>
        <w:textAlignment w:val="auto"/>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因经营性活动需要提供水文专项咨询服务的，当事人双方应当签订有偿服务合同，明确双方的权利和义务。</w:t>
      </w:r>
    </w:p>
    <w:p>
      <w:pPr>
        <w:pStyle w:val="Normal"/>
        <w:keepNext w:val="false"/>
        <w:keepLines w:val="false"/>
        <w:pageBreakBefore w:val="false"/>
        <w:widowControl w:val="false"/>
        <w:kinsoku w:val="true"/>
        <w:overflowPunct w:val="true"/>
        <w:autoSpaceDE w:val="true"/>
        <w:bidi w:val="0"/>
        <w:snapToGrid w:val="true"/>
        <w:spacing w:lineRule="exact" w:line="570"/>
        <w:ind w:firstLine="645" w:end="0"/>
        <w:textAlignment w:val="auto"/>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70"/>
        <w:ind w:firstLineChars="800" w:startChars="0" w:start="0" w:endChars="0" w:end="0"/>
        <w:textAlignment w:val="auto"/>
        <w:outlineLvl w:val="0"/>
        <w:rPr>
          <w:rFonts w:ascii="宋体" w:hAnsi="宋体" w:cs="宋体" w:hint="eastAsia"/>
          <w:b/>
          <w:color w:val="000000"/>
          <w:sz w:val="32"/>
          <w:szCs w:val="32"/>
        </w:rPr>
      </w:pPr>
      <w:r>
        <w:rPr>
          <w:rFonts w:ascii="黑体" w:hAnsi="黑体" w:cs="黑体" w:hint="eastAsia" w:eastAsia="黑体"/>
          <w:b w:val="false"/>
          <w:bCs/>
          <w:color w:val="000000"/>
          <w:sz w:val="32"/>
          <w:szCs w:val="32"/>
        </w:rPr>
        <w:t>第五章  设施与监测环境保护</w:t>
      </w:r>
    </w:p>
    <w:p>
      <w:pPr>
        <w:pStyle w:val="Normal"/>
        <w:keepNext w:val="false"/>
        <w:keepLines w:val="false"/>
        <w:pageBreakBefore w:val="false"/>
        <w:widowControl w:val="false"/>
        <w:kinsoku w:val="true"/>
        <w:overflowPunct w:val="true"/>
        <w:autoSpaceDE w:val="true"/>
        <w:bidi w:val="0"/>
        <w:snapToGrid w:val="true"/>
        <w:spacing w:lineRule="exact" w:line="570"/>
        <w:ind w:firstLineChars="600" w:startChars="0" w:start="0" w:endChars="0" w:end="0"/>
        <w:textAlignment w:val="auto"/>
        <w:rPr>
          <w:rFonts w:ascii="仿宋_GB2312" w:hAnsi="仿宋_GB2312" w:eastAsia="仿宋_GB2312" w:cs="宋体" w:hint="eastAsia"/>
          <w:b/>
          <w:color w:val="000000"/>
          <w:sz w:val="32"/>
          <w:szCs w:val="32"/>
        </w:rPr>
      </w:pPr>
      <w:r>
        <w:rPr>
          <w:rFonts w:eastAsia="仿宋_GB2312" w:cs="宋体" w:hint="eastAsia" w:ascii="仿宋_GB2312" w:hAnsi="仿宋_GB2312"/>
          <w:b/>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hint="eastAsia"/>
          <w:color w:val="000000"/>
          <w:sz w:val="32"/>
          <w:szCs w:val="32"/>
        </w:rPr>
      </w:pPr>
      <w:r>
        <w:rPr>
          <w:rFonts w:ascii="黑体" w:hAnsi="黑体" w:cs="黑体" w:hint="eastAsia" w:eastAsia="黑体"/>
          <w:color w:val="000000"/>
          <w:sz w:val="32"/>
          <w:szCs w:val="32"/>
        </w:rPr>
        <w:t>第二十一条</w:t>
      </w:r>
      <w:r>
        <w:rPr>
          <w:rFonts w:ascii="仿宋_GB2312" w:hAnsi="仿宋_GB2312" w:hint="eastAsia" w:eastAsia="仿宋_GB2312"/>
          <w:color w:val="000000"/>
          <w:sz w:val="32"/>
          <w:szCs w:val="32"/>
        </w:rPr>
        <w:t xml:space="preserve">  任何单位和个人不得侵占、毁坏、擅自移动或者擅自使用水文监测设施。水文机构发现水文监测设施遭受人为破坏的，应当及时报告当地水行政主管部门，有关部门应当采取措施确保水文监测的正常进行。</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国家基本水文测站因水毁、雷击、泥石流、风暴潮等不可抗力遭受破坏的，所在地人民政府和有关部门应当及时采取措施，组织力量修复，确保其正常运行。</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hint="eastAsia"/>
          <w:color w:val="000000"/>
          <w:sz w:val="32"/>
          <w:szCs w:val="32"/>
        </w:rPr>
      </w:pPr>
      <w:r>
        <w:rPr>
          <w:rFonts w:ascii="黑体" w:hAnsi="黑体" w:cs="黑体" w:hint="eastAsia" w:eastAsia="黑体"/>
          <w:color w:val="000000"/>
          <w:sz w:val="32"/>
          <w:szCs w:val="32"/>
        </w:rPr>
        <w:t>第二十二条</w:t>
      </w:r>
      <w:r>
        <w:rPr>
          <w:rFonts w:ascii="仿宋_GB2312" w:hAnsi="仿宋_GB2312" w:hint="eastAsia" w:eastAsia="仿宋_GB2312"/>
          <w:color w:val="000000"/>
          <w:sz w:val="32"/>
          <w:szCs w:val="32"/>
        </w:rPr>
        <w:t xml:space="preserve">  未经批准，任何单位和个人不得迁移国家基本水文测站。因重大工程建设确需迁移的，建设单位应当在建设项目立项前，向对该站有管理权限的水行政主管部门提出申请，经批准后方可申请立项。迁移所需费用由建设单位承担。</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申请迁移国家基本水文测站应当提交下列材料：</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70"/>
        <w:ind w:firstLineChars="200" w:startChars="0" w:start="0" w:endChars="0" w:end="0"/>
        <w:textAlignment w:val="auto"/>
        <w:outlineLvl w:val="1"/>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（一）迁移申请书</w:t>
      </w:r>
      <w:r>
        <w:rPr>
          <w:rFonts w:eastAsia="仿宋_GB2312" w:hint="eastAsia" w:ascii="仿宋_GB2312" w:hAnsi="仿宋_GB2312"/>
          <w:color w:val="000000"/>
          <w:sz w:val="32"/>
          <w:szCs w:val="32"/>
        </w:rPr>
        <w:t>;</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70"/>
        <w:ind w:firstLineChars="200" w:startChars="0" w:start="0" w:endChars="0" w:end="0"/>
        <w:textAlignment w:val="auto"/>
        <w:outlineLvl w:val="1"/>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（二）工程建设基本情况说明</w:t>
      </w:r>
      <w:r>
        <w:rPr>
          <w:rFonts w:eastAsia="仿宋_GB2312" w:hint="eastAsia" w:ascii="仿宋_GB2312" w:hAnsi="仿宋_GB2312"/>
          <w:color w:val="000000"/>
          <w:sz w:val="32"/>
          <w:szCs w:val="32"/>
        </w:rPr>
        <w:t>;</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70"/>
        <w:ind w:firstLineChars="200" w:startChars="0" w:start="0" w:endChars="0" w:end="0"/>
        <w:textAlignment w:val="auto"/>
        <w:outlineLvl w:val="1"/>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（三）迁移时遇突发事件需要采取的应急监测措施</w:t>
      </w:r>
      <w:r>
        <w:rPr>
          <w:rFonts w:eastAsia="仿宋_GB2312" w:hint="eastAsia" w:ascii="仿宋_GB2312" w:hAnsi="仿宋_GB2312"/>
          <w:color w:val="000000"/>
          <w:sz w:val="32"/>
          <w:szCs w:val="32"/>
        </w:rPr>
        <w:t>;</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70"/>
        <w:ind w:firstLineChars="200" w:startChars="0" w:start="0" w:endChars="0" w:end="0"/>
        <w:textAlignment w:val="auto"/>
        <w:outlineLvl w:val="1"/>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（四）迁移后水文监测环境的保证措施。</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hint="eastAsia"/>
          <w:color w:val="000000"/>
          <w:sz w:val="32"/>
          <w:szCs w:val="32"/>
        </w:rPr>
      </w:pPr>
      <w:r>
        <w:rPr>
          <w:rFonts w:ascii="黑体" w:hAnsi="黑体" w:cs="黑体" w:hint="eastAsia" w:eastAsia="黑体"/>
          <w:color w:val="000000"/>
          <w:sz w:val="32"/>
          <w:szCs w:val="32"/>
        </w:rPr>
        <w:t>第二十三条</w:t>
      </w:r>
      <w:r>
        <w:rPr>
          <w:rFonts w:ascii="仿宋_GB2312" w:hAnsi="仿宋_GB2312" w:hint="eastAsia" w:eastAsia="仿宋_GB2312"/>
          <w:color w:val="000000"/>
          <w:sz w:val="32"/>
          <w:szCs w:val="32"/>
        </w:rPr>
        <w:t xml:space="preserve">  县人民政府按照下列标准划定水文监测环境保护范围：</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（一）水文监测场地周围三十米，监测设施在监测场地以外的为监测设施周围二十米</w:t>
      </w:r>
      <w:r>
        <w:rPr>
          <w:rFonts w:eastAsia="仿宋_GB2312" w:hint="eastAsia" w:ascii="仿宋_GB2312" w:hAnsi="仿宋_GB2312"/>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（二）潮水位站周围二百米</w:t>
      </w:r>
      <w:r>
        <w:rPr>
          <w:rFonts w:eastAsia="仿宋_GB2312" w:hint="eastAsia" w:ascii="仿宋_GB2312" w:hAnsi="仿宋_GB2312"/>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（三）水文监测河段保护范围是横向为两岸堤防之间，无堤防的为历史最高洪水位或者设计洪水位之间的行洪区</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纵向为沿河水文基本监测断面上下游各一定距离，其中小型河流五百米，中型河流七百米，大型河流一千米。</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县人民政府应当向社会公布水文监测环境保护范围，并在保护范围边界设立明显地面标志。</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hint="eastAsia"/>
          <w:color w:val="000000"/>
          <w:sz w:val="32"/>
          <w:szCs w:val="32"/>
        </w:rPr>
      </w:pPr>
      <w:r>
        <w:rPr>
          <w:rFonts w:ascii="黑体" w:hAnsi="黑体" w:cs="黑体" w:hint="eastAsia" w:eastAsia="黑体"/>
          <w:color w:val="000000"/>
          <w:sz w:val="32"/>
          <w:szCs w:val="32"/>
        </w:rPr>
        <w:t>第二十四条</w:t>
      </w:r>
      <w:r>
        <w:rPr>
          <w:rFonts w:ascii="仿宋_GB2312" w:hAnsi="仿宋_GB2312" w:hint="eastAsia" w:eastAsia="仿宋_GB2312"/>
          <w:color w:val="000000"/>
          <w:sz w:val="32"/>
          <w:szCs w:val="32"/>
        </w:rPr>
        <w:t xml:space="preserve">  禁止在水文监测环境保护范围内从事下列活动：</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（一）种植高秆作物、堆放物料、修建建筑物、停靠船只；</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（二）取土、挖砂、采石、淘金、爆破和倾倒废弃物；</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（三）在监测断面取水、排污或者在过河设备、气象观测场、监测断面的上空架设线路；</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（四）埋设管线、设置障碍物或者渔具、锚锭、锚链以及在水尺（桩）上拴系牲畜</w:t>
      </w:r>
      <w:r>
        <w:rPr>
          <w:rFonts w:eastAsia="仿宋_GB2312" w:hint="eastAsia" w:ascii="仿宋_GB2312" w:hAnsi="仿宋_GB2312"/>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（五）网箱养殖、水生植物种植、烧荒、烧窑、熏肥</w:t>
      </w:r>
      <w:r>
        <w:rPr>
          <w:rFonts w:eastAsia="仿宋_GB2312" w:hint="eastAsia" w:ascii="仿宋_GB2312" w:hAnsi="仿宋_GB2312"/>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（六）其他对水文监测有影响的活动。</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hint="eastAsia"/>
          <w:color w:val="000000"/>
          <w:sz w:val="32"/>
          <w:szCs w:val="32"/>
        </w:rPr>
      </w:pPr>
      <w:r>
        <w:rPr>
          <w:rFonts w:ascii="黑体" w:hAnsi="黑体" w:cs="黑体" w:hint="eastAsia" w:eastAsia="黑体"/>
          <w:color w:val="000000"/>
          <w:sz w:val="32"/>
          <w:szCs w:val="32"/>
        </w:rPr>
        <w:t>第二十五条</w:t>
      </w:r>
      <w:r>
        <w:rPr>
          <w:rFonts w:ascii="仿宋_GB2312" w:hAnsi="仿宋_GB2312" w:hint="eastAsia" w:eastAsia="仿宋_GB2312"/>
          <w:color w:val="000000"/>
          <w:sz w:val="32"/>
          <w:szCs w:val="32"/>
        </w:rPr>
        <w:t xml:space="preserve">  在国家基本水文测站上下游各二十公里（平原河网区上下游各十公里）河道管理范围内，新建、改建、扩建可能影响水文监测的下列工程项目，建设单位应当向对该站有管理权限的水行政主管部门提出申请，经批准后方可建设：</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（一）水工程</w:t>
      </w:r>
      <w:r>
        <w:rPr>
          <w:rFonts w:eastAsia="仿宋_GB2312" w:hint="eastAsia" w:ascii="仿宋_GB2312" w:hAnsi="仿宋_GB2312"/>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（二）桥梁、码头和其他拦河、跨河、临河建筑物、构筑物或者跨河管道、电缆</w:t>
      </w:r>
      <w:r>
        <w:rPr>
          <w:rFonts w:eastAsia="仿宋_GB2312" w:hint="eastAsia" w:ascii="仿宋_GB2312" w:hAnsi="仿宋_GB2312"/>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（三）取水、排污等可能影响水文监测的工程。</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建设单位提出申请，应当提交下列材料：</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70"/>
        <w:ind w:firstLineChars="200" w:startChars="0" w:start="0" w:endChars="0" w:end="0"/>
        <w:textAlignment w:val="auto"/>
        <w:outlineLvl w:val="1"/>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（一）建设工程申请书和施工计划</w:t>
      </w:r>
      <w:r>
        <w:rPr>
          <w:rFonts w:eastAsia="仿宋_GB2312" w:hint="eastAsia" w:ascii="仿宋_GB2312" w:hAnsi="仿宋_GB2312"/>
          <w:color w:val="000000"/>
          <w:sz w:val="32"/>
          <w:szCs w:val="32"/>
        </w:rPr>
        <w:t>;</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70"/>
        <w:ind w:firstLineChars="200" w:startChars="0" w:start="0" w:endChars="0" w:end="0"/>
        <w:textAlignment w:val="auto"/>
        <w:outlineLvl w:val="1"/>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（二）水文监测影响程度分析评价报告</w:t>
      </w:r>
      <w:r>
        <w:rPr>
          <w:rFonts w:eastAsia="仿宋_GB2312" w:hint="eastAsia" w:ascii="仿宋_GB2312" w:hAnsi="仿宋_GB2312"/>
          <w:color w:val="000000"/>
          <w:sz w:val="32"/>
          <w:szCs w:val="32"/>
        </w:rPr>
        <w:t>;</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70"/>
        <w:ind w:firstLineChars="200" w:startChars="0" w:start="0" w:endChars="0" w:end="0"/>
        <w:textAlignment w:val="auto"/>
        <w:outlineLvl w:val="1"/>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（三）拟采取的补救措施及费用估算。</w:t>
      </w:r>
    </w:p>
    <w:p>
      <w:pPr>
        <w:pStyle w:val="Normal"/>
        <w:keepNext w:val="false"/>
        <w:keepLines w:val="false"/>
        <w:pageBreakBefore w:val="false"/>
        <w:widowControl w:val="false"/>
        <w:kinsoku w:val="true"/>
        <w:overflowPunct w:val="true"/>
        <w:autoSpaceDE w:val="true"/>
        <w:bidi w:val="0"/>
        <w:snapToGrid w:val="true"/>
        <w:spacing w:lineRule="exact" w:line="570"/>
        <w:ind w:firstLineChars="250" w:startChars="0" w:start="0" w:endChars="0" w:end="0"/>
        <w:textAlignment w:val="auto"/>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因工程建设致使水文测站改建的，所需费用由建设单位承担。水文测站改建后不得低于原标准。</w:t>
      </w:r>
    </w:p>
    <w:p>
      <w:pPr>
        <w:pStyle w:val="Normal"/>
        <w:keepNext w:val="false"/>
        <w:keepLines w:val="false"/>
        <w:pageBreakBefore w:val="false"/>
        <w:widowControl w:val="false"/>
        <w:kinsoku w:val="true"/>
        <w:overflowPunct w:val="true"/>
        <w:autoSpaceDE w:val="true"/>
        <w:bidi w:val="0"/>
        <w:snapToGrid w:val="true"/>
        <w:spacing w:lineRule="exact" w:line="570"/>
        <w:ind w:firstLineChars="250" w:startChars="0" w:start="0" w:endChars="0" w:end="0"/>
        <w:textAlignment w:val="auto"/>
        <w:rPr>
          <w:rFonts w:ascii="仿宋_GB2312" w:hAnsi="仿宋_GB2312" w:eastAsia="仿宋_GB2312" w:hint="eastAsia"/>
          <w:color w:val="000000"/>
          <w:sz w:val="32"/>
          <w:szCs w:val="32"/>
        </w:rPr>
      </w:pPr>
      <w:r>
        <w:rPr>
          <w:rFonts w:ascii="黑体" w:hAnsi="黑体" w:cs="黑体" w:hint="eastAsia" w:eastAsia="黑体"/>
          <w:color w:val="000000"/>
          <w:sz w:val="32"/>
          <w:szCs w:val="32"/>
        </w:rPr>
        <w:t>第二十六条</w:t>
      </w:r>
      <w:r>
        <w:rPr>
          <w:rFonts w:ascii="仿宋_GB2312" w:hAnsi="仿宋_GB2312" w:hint="eastAsia" w:eastAsia="仿宋_GB2312"/>
          <w:color w:val="000000"/>
          <w:sz w:val="32"/>
          <w:szCs w:val="32"/>
        </w:rPr>
        <w:t xml:space="preserve">  在通航河道中或者桥上进行水文监测作业时，应当依法设置警示标志，过往船只、车辆应当减速通行或者避让。交通运输、海事、应急管理、公安部门应当予以协助。</w:t>
      </w:r>
    </w:p>
    <w:p>
      <w:pPr>
        <w:pStyle w:val="Normal"/>
        <w:keepNext w:val="false"/>
        <w:keepLines w:val="false"/>
        <w:pageBreakBefore w:val="false"/>
        <w:widowControl w:val="false"/>
        <w:kinsoku w:val="true"/>
        <w:overflowPunct w:val="true"/>
        <w:autoSpaceDE w:val="true"/>
        <w:bidi w:val="0"/>
        <w:snapToGrid w:val="true"/>
        <w:spacing w:lineRule="exact" w:line="570"/>
        <w:ind w:firstLine="645" w:end="0"/>
        <w:textAlignment w:val="auto"/>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水文监测专用车辆、船只应当设置统一标志。</w:t>
      </w:r>
    </w:p>
    <w:p>
      <w:pPr>
        <w:pStyle w:val="Normal"/>
        <w:keepNext w:val="false"/>
        <w:keepLines w:val="false"/>
        <w:pageBreakBefore w:val="false"/>
        <w:widowControl w:val="false"/>
        <w:kinsoku w:val="true"/>
        <w:overflowPunct w:val="true"/>
        <w:autoSpaceDE w:val="true"/>
        <w:bidi w:val="0"/>
        <w:snapToGrid w:val="true"/>
        <w:spacing w:lineRule="exact" w:line="570"/>
        <w:ind w:firstLine="645" w:end="0"/>
        <w:textAlignment w:val="auto"/>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70"/>
        <w:ind w:firstLineChars="950" w:startChars="0" w:start="0" w:endChars="0" w:end="0"/>
        <w:textAlignment w:val="auto"/>
        <w:outlineLvl w:val="0"/>
        <w:rPr>
          <w:rFonts w:ascii="宋体" w:hAnsi="宋体" w:cs="宋体" w:hint="eastAsia"/>
          <w:b/>
          <w:color w:val="000000"/>
          <w:sz w:val="32"/>
          <w:szCs w:val="32"/>
        </w:rPr>
      </w:pPr>
      <w:r>
        <w:rPr>
          <w:rFonts w:ascii="黑体" w:hAnsi="黑体" w:cs="黑体" w:hint="eastAsia" w:eastAsia="黑体"/>
          <w:b w:val="false"/>
          <w:bCs/>
          <w:color w:val="000000"/>
          <w:sz w:val="32"/>
          <w:szCs w:val="32"/>
        </w:rPr>
        <w:t>第六章  法律责任</w:t>
      </w:r>
    </w:p>
    <w:p>
      <w:pPr>
        <w:pStyle w:val="Normal"/>
        <w:keepNext w:val="false"/>
        <w:keepLines w:val="false"/>
        <w:pageBreakBefore w:val="false"/>
        <w:widowControl w:val="false"/>
        <w:kinsoku w:val="true"/>
        <w:overflowPunct w:val="true"/>
        <w:autoSpaceDE w:val="true"/>
        <w:bidi w:val="0"/>
        <w:snapToGrid w:val="true"/>
        <w:spacing w:lineRule="exact" w:line="570"/>
        <w:ind w:firstLineChars="950" w:startChars="0" w:start="0" w:endChars="0" w:end="0"/>
        <w:textAlignment w:val="auto"/>
        <w:rPr>
          <w:rFonts w:ascii="仿宋_GB2312" w:hAnsi="仿宋_GB2312" w:eastAsia="仿宋_GB2312" w:cs="宋体" w:hint="eastAsia"/>
          <w:b/>
          <w:color w:val="000000"/>
          <w:sz w:val="32"/>
          <w:szCs w:val="32"/>
        </w:rPr>
      </w:pPr>
      <w:r>
        <w:rPr>
          <w:rFonts w:eastAsia="仿宋_GB2312" w:cs="宋体" w:hint="eastAsia" w:ascii="仿宋_GB2312" w:hAnsi="仿宋_GB2312"/>
          <w:b/>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hint="eastAsia"/>
          <w:color w:val="000000"/>
          <w:sz w:val="32"/>
          <w:szCs w:val="32"/>
        </w:rPr>
      </w:pPr>
      <w:r>
        <w:rPr>
          <w:rFonts w:ascii="黑体" w:hAnsi="黑体" w:cs="黑体" w:hint="eastAsia" w:eastAsia="黑体"/>
          <w:color w:val="000000"/>
          <w:sz w:val="32"/>
          <w:szCs w:val="32"/>
        </w:rPr>
        <w:t>第二十七条</w:t>
      </w:r>
      <w:r>
        <w:rPr>
          <w:rFonts w:ascii="仿宋_GB2312" w:hAnsi="仿宋_GB2312" w:hint="eastAsia" w:eastAsia="仿宋_GB2312"/>
          <w:color w:val="000000"/>
          <w:sz w:val="32"/>
          <w:szCs w:val="32"/>
        </w:rPr>
        <w:t xml:space="preserve">  违反本条例规定，侵占、毁坏水文监测设施或者未经批准擅自移动、使用水文监测设施的，由水行政主管部门依照管理权限责令停止违法行为，限期恢复原状或者采取其他补救措施，可以处一万元以上五万元以下罚款；构成违反治安管理行为的，依法给予治安管理处罚；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hint="eastAsia"/>
          <w:color w:val="000000"/>
          <w:sz w:val="32"/>
          <w:szCs w:val="32"/>
        </w:rPr>
      </w:pPr>
      <w:r>
        <w:rPr>
          <w:rFonts w:ascii="黑体" w:hAnsi="黑体" w:cs="黑体" w:hint="eastAsia" w:eastAsia="黑体"/>
          <w:color w:val="000000"/>
          <w:sz w:val="32"/>
          <w:szCs w:val="32"/>
        </w:rPr>
        <w:t>第二十八条</w:t>
      </w:r>
      <w:r>
        <w:rPr>
          <w:rFonts w:ascii="仿宋_GB2312" w:hAnsi="仿宋_GB2312" w:hint="eastAsia" w:eastAsia="仿宋_GB2312"/>
          <w:color w:val="000000"/>
          <w:sz w:val="32"/>
          <w:szCs w:val="32"/>
        </w:rPr>
        <w:t xml:space="preserve">  违反本条例规定，在水文监测环境保护范围内有下列行为之一的，由水行政主管部门依照管理权限责令停止违法行为，限期恢复原状或者采取其他补救措施，可以按照下列规定处以罚款；构成违反治安管理行为的，依法给予治安管理处罚；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（一）种植高秆作物、堆放物料、修建建筑物、停靠船只的，处一千元以上五千元以下罚款；</w:t>
      </w:r>
    </w:p>
    <w:p>
      <w:pPr>
        <w:pStyle w:val="Normal"/>
        <w:keepNext w:val="false"/>
        <w:keepLines w:val="false"/>
        <w:pageBreakBefore w:val="false"/>
        <w:widowControl w:val="false"/>
        <w:kinsoku w:val="true"/>
        <w:overflowPunct w:val="true"/>
        <w:autoSpaceDE w:val="true"/>
        <w:bidi w:val="0"/>
        <w:snapToGrid w:val="true"/>
        <w:spacing w:lineRule="exact" w:line="570"/>
        <w:ind w:firstLine="645" w:end="0"/>
        <w:textAlignment w:val="auto"/>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（二）取土、挖砂、采石、淘金、爆破和倾倒废弃物的，处二千元以上一万元以下罚款；</w:t>
      </w:r>
    </w:p>
    <w:p>
      <w:pPr>
        <w:pStyle w:val="Normal"/>
        <w:keepNext w:val="false"/>
        <w:keepLines w:val="false"/>
        <w:pageBreakBefore w:val="false"/>
        <w:widowControl w:val="false"/>
        <w:kinsoku w:val="true"/>
        <w:overflowPunct w:val="true"/>
        <w:autoSpaceDE w:val="true"/>
        <w:bidi w:val="0"/>
        <w:snapToGrid w:val="true"/>
        <w:spacing w:lineRule="exact" w:line="570"/>
        <w:ind w:firstLine="645" w:end="0"/>
        <w:textAlignment w:val="auto"/>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（三）在监测断面取水、排污或者在过河设备、气象观测场、监测断面的上空架设线路的，处三千元以上一万元以下罚款；</w:t>
      </w:r>
    </w:p>
    <w:p>
      <w:pPr>
        <w:pStyle w:val="Normal"/>
        <w:keepNext w:val="false"/>
        <w:keepLines w:val="false"/>
        <w:pageBreakBefore w:val="false"/>
        <w:widowControl w:val="false"/>
        <w:kinsoku w:val="true"/>
        <w:overflowPunct w:val="true"/>
        <w:autoSpaceDE w:val="true"/>
        <w:bidi w:val="0"/>
        <w:snapToGrid w:val="true"/>
        <w:spacing w:lineRule="exact" w:line="570"/>
        <w:ind w:firstLine="645" w:end="0"/>
        <w:textAlignment w:val="auto"/>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（四）埋设管线、设置障碍物或者渔具、锚锭、锚链以及在水尺（桩）上拴系牲畜的，处一千元以上二千元以下罚款</w:t>
      </w:r>
      <w:r>
        <w:rPr>
          <w:rFonts w:eastAsia="仿宋_GB2312" w:hint="eastAsia" w:ascii="仿宋_GB2312" w:hAnsi="仿宋_GB2312"/>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（五）网箱养殖、水生植物种植、烧荒、烧窑、熏肥的，处五百元以上二千元以下罚款。</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hint="eastAsia"/>
          <w:color w:val="000000"/>
          <w:sz w:val="32"/>
          <w:szCs w:val="32"/>
        </w:rPr>
      </w:pPr>
      <w:r>
        <w:rPr>
          <w:rFonts w:ascii="黑体" w:hAnsi="黑体" w:cs="黑体" w:hint="eastAsia" w:eastAsia="黑体"/>
          <w:color w:val="000000"/>
          <w:sz w:val="32"/>
          <w:szCs w:val="32"/>
        </w:rPr>
        <w:t>第二十九条</w:t>
      </w:r>
      <w:r>
        <w:rPr>
          <w:rFonts w:ascii="仿宋_GB2312" w:hAnsi="仿宋_GB2312" w:hint="eastAsia" w:eastAsia="仿宋_GB2312"/>
          <w:color w:val="000000"/>
          <w:sz w:val="32"/>
          <w:szCs w:val="32"/>
        </w:rPr>
        <w:t xml:space="preserve">  违反本条例规定，有下列行为之一的，对直接负责的主管人员和其他直接责任人员依法给予处分；构成犯罪的，依法追究刑事责任：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（一）错报水文监测信息造成严重经济损失的；</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（二）汛期漏报、迟报水文监测信息的；</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（三）擅自发布水文情报预报的；</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（四）丢失、毁坏、伪造水文监测资料和数据库的；</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（五）擅自转让、转借水文监测资料的；</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70"/>
        <w:ind w:firstLine="645" w:end="0"/>
        <w:textAlignment w:val="auto"/>
        <w:outlineLvl w:val="1"/>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（六）不依法履行职责的其他行为。</w:t>
      </w:r>
    </w:p>
    <w:p>
      <w:pPr>
        <w:pStyle w:val="Normal"/>
        <w:keepNext w:val="false"/>
        <w:keepLines w:val="false"/>
        <w:pageBreakBefore w:val="false"/>
        <w:widowControl w:val="false"/>
        <w:kinsoku w:val="true"/>
        <w:overflowPunct w:val="true"/>
        <w:autoSpaceDE w:val="true"/>
        <w:bidi w:val="0"/>
        <w:snapToGrid w:val="true"/>
        <w:spacing w:lineRule="exact" w:line="570"/>
        <w:ind w:firstLineChars="250" w:startChars="0" w:start="0" w:endChars="0" w:end="0"/>
        <w:textAlignment w:val="auto"/>
        <w:rPr>
          <w:rFonts w:ascii="仿宋_GB2312" w:hAnsi="仿宋_GB2312" w:eastAsia="仿宋_GB2312" w:hint="eastAsia"/>
          <w:color w:val="000000"/>
          <w:sz w:val="32"/>
          <w:szCs w:val="32"/>
        </w:rPr>
      </w:pPr>
      <w:r>
        <w:rPr>
          <w:rFonts w:ascii="黑体" w:hAnsi="黑体" w:cs="黑体" w:hint="eastAsia" w:eastAsia="黑体"/>
          <w:color w:val="000000"/>
          <w:sz w:val="32"/>
          <w:szCs w:val="32"/>
        </w:rPr>
        <w:t>第三十条</w:t>
      </w:r>
      <w:r>
        <w:rPr>
          <w:rFonts w:ascii="仿宋_GB2312" w:hAnsi="仿宋_GB2312" w:hint="eastAsia" w:eastAsia="仿宋_GB2312"/>
          <w:color w:val="000000"/>
          <w:sz w:val="32"/>
          <w:szCs w:val="32"/>
        </w:rPr>
        <w:t xml:space="preserve">  </w:t>
      </w:r>
      <w:r>
        <w:rPr>
          <w:rFonts w:ascii="仿宋_GB2312" w:hAnsi="仿宋_GB2312" w:cs="宋体" w:hint="eastAsia" w:eastAsia="仿宋_GB2312"/>
          <w:color w:val="000000"/>
          <w:kern w:val="0"/>
          <w:sz w:val="32"/>
          <w:szCs w:val="32"/>
        </w:rPr>
        <w:t>违反本条例规定的其他行为，《中华人民共和国水文条例》已有处罚规定的，从其规定。</w:t>
      </w:r>
    </w:p>
    <w:p>
      <w:pPr>
        <w:pStyle w:val="Normal"/>
        <w:keepNext w:val="false"/>
        <w:keepLines w:val="false"/>
        <w:pageBreakBefore w:val="false"/>
        <w:widowControl w:val="false"/>
        <w:kinsoku w:val="true"/>
        <w:overflowPunct w:val="true"/>
        <w:autoSpaceDE w:val="true"/>
        <w:bidi w:val="0"/>
        <w:snapToGrid w:val="true"/>
        <w:spacing w:lineRule="exact" w:line="570"/>
        <w:ind w:firstLine="645" w:end="0"/>
        <w:textAlignment w:val="auto"/>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70"/>
        <w:jc w:val="center"/>
        <w:textAlignment w:val="auto"/>
        <w:outlineLvl w:val="0"/>
        <w:rPr>
          <w:rFonts w:ascii="黑体" w:hAnsi="黑体" w:eastAsia="黑体" w:cs="黑体" w:hint="eastAsia"/>
          <w:b w:val="false"/>
          <w:bCs/>
          <w:color w:val="000000"/>
          <w:sz w:val="32"/>
          <w:szCs w:val="32"/>
        </w:rPr>
      </w:pPr>
      <w:r>
        <w:rPr>
          <w:rFonts w:ascii="黑体" w:hAnsi="黑体" w:cs="黑体" w:hint="eastAsia" w:eastAsia="黑体"/>
          <w:b w:val="false"/>
          <w:bCs/>
          <w:color w:val="000000"/>
          <w:sz w:val="32"/>
          <w:szCs w:val="32"/>
        </w:rPr>
        <w:t>第七章  附则</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黑体" w:hAnsi="黑体" w:eastAsia="黑体" w:cs="黑体" w:hint="eastAsia"/>
          <w:b w:val="false"/>
          <w:bCs/>
          <w:color w:val="000000"/>
          <w:sz w:val="32"/>
          <w:szCs w:val="32"/>
        </w:rPr>
      </w:pPr>
      <w:r>
        <w:rPr>
          <w:rFonts w:eastAsia="黑体" w:cs="黑体" w:hint="eastAsia" w:ascii="黑体" w:hAnsi="黑体"/>
          <w:b w:val="false"/>
          <w:bCs/>
          <w:color w:val="000000"/>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70"/>
        <w:ind w:firstLineChars="200" w:startChars="0" w:start="0" w:endChars="0" w:end="0"/>
        <w:textAlignment w:val="auto"/>
        <w:outlineLvl w:val="0"/>
        <w:rPr/>
      </w:pPr>
      <w:r>
        <w:rPr>
          <w:rFonts w:ascii="黑体" w:hAnsi="黑体" w:cs="黑体" w:hint="eastAsia" w:eastAsia="黑体"/>
          <w:color w:val="000000"/>
          <w:sz w:val="32"/>
          <w:szCs w:val="32"/>
        </w:rPr>
        <w:t>第三十一条</w:t>
      </w:r>
      <w:r>
        <w:rPr>
          <w:rFonts w:ascii="仿宋_GB2312" w:hAnsi="仿宋_GB2312" w:hint="eastAsia" w:eastAsia="仿宋_GB2312"/>
          <w:color w:val="000000"/>
          <w:sz w:val="32"/>
          <w:szCs w:val="32"/>
        </w:rPr>
        <w:t xml:space="preserve">  本条例自</w:t>
      </w:r>
      <w:r>
        <w:rPr>
          <w:rFonts w:eastAsia="仿宋_GB2312" w:hint="eastAsia" w:ascii="仿宋_GB2312" w:hAnsi="仿宋_GB2312"/>
          <w:color w:val="000000"/>
          <w:sz w:val="32"/>
          <w:szCs w:val="32"/>
        </w:rPr>
        <w:t>2011</w:t>
      </w:r>
      <w:r>
        <w:rPr>
          <w:rFonts w:ascii="仿宋_GB2312" w:hAnsi="仿宋_GB2312" w:hint="eastAsia" w:eastAsia="仿宋_GB2312"/>
          <w:color w:val="000000"/>
          <w:sz w:val="32"/>
          <w:szCs w:val="32"/>
        </w:rPr>
        <w:t>年</w:t>
      </w:r>
      <w:r>
        <w:rPr>
          <w:rFonts w:eastAsia="仿宋_GB2312" w:hint="eastAsia" w:ascii="仿宋_GB2312" w:hAnsi="仿宋_GB2312"/>
          <w:color w:val="000000"/>
          <w:sz w:val="32"/>
          <w:szCs w:val="32"/>
        </w:rPr>
        <w:t>10</w:t>
      </w:r>
      <w:r>
        <w:rPr>
          <w:rFonts w:ascii="仿宋_GB2312" w:hAnsi="仿宋_GB2312" w:hint="eastAsia" w:eastAsia="仿宋_GB2312"/>
          <w:color w:val="000000"/>
          <w:sz w:val="32"/>
          <w:szCs w:val="32"/>
        </w:rPr>
        <w:t>月</w:t>
      </w:r>
      <w:r>
        <w:rPr>
          <w:rFonts w:eastAsia="仿宋_GB2312" w:hint="eastAsia" w:ascii="仿宋_GB2312" w:hAnsi="仿宋_GB2312"/>
          <w:color w:val="000000"/>
          <w:sz w:val="32"/>
          <w:szCs w:val="32"/>
        </w:rPr>
        <w:t>1</w:t>
      </w:r>
      <w:r>
        <w:rPr>
          <w:rFonts w:ascii="仿宋_GB2312" w:hAnsi="仿宋_GB2312" w:hint="eastAsia" w:eastAsia="仿宋_GB2312"/>
          <w:color w:val="000000"/>
          <w:sz w:val="32"/>
          <w:szCs w:val="32"/>
        </w:rPr>
        <w:t>日起施行。</w:t>
      </w:r>
    </w:p>
    <w:sectPr>
      <w:headerReference w:type="default" r:id="rId2"/>
      <w:footerReference w:type="default" r:id="rId3"/>
      <w:type w:val="nextPage"/>
      <w:pgSz w:w="11906" w:h="16838"/>
      <w:pgMar w:left="1587" w:right="1474" w:gutter="0" w:header="851" w:top="1984" w:footer="1417" w:bottom="1701"/>
      <w:pgNumType w:fmt="decimal"/>
      <w:formProt w:val="false"/>
      <w:textDirection w:val="lrTb"/>
      <w:docGrid w:type="linesAndChars" w:linePitch="595"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
    <w:charset w:val="86"/>
    <w:family w:val="auto"/>
    <w:pitch w:val="default"/>
  </w:font>
  <w:font w:name="仿宋">
    <w:charset w:val="86"/>
    <w:family w:val="auto"/>
    <w:pitch w:val="default"/>
  </w:font>
  <w:font w:name="楷体_GB2312">
    <w:charset w:val="86"/>
    <w:family w:val="auto"/>
    <w:pitch w:val="default"/>
  </w:font>
  <w:font w:name="黑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2" behindDoc="1" locked="0" layoutInCell="0" allowOverlap="1">
              <wp:simplePos x="0" y="0"/>
              <wp:positionH relativeFrom="margin">
                <wp:align>outside</wp:align>
              </wp:positionH>
              <wp:positionV relativeFrom="paragraph">
                <wp:posOffset>635</wp:posOffset>
              </wp:positionV>
              <wp:extent cx="199390" cy="605790"/>
              <wp:effectExtent l="0" t="0" r="0" b="0"/>
              <wp:wrapNone/>
              <wp:docPr id="1" name="Frame1"/>
              <a:graphic xmlns:a="http://schemas.openxmlformats.org/drawingml/2006/main">
                <a:graphicData uri="http://schemas.microsoft.com/office/word/2010/wordprocessingShape">
                  <wps:wsp>
                    <wps:cNvSpPr txBox="1"/>
                    <wps:spPr>
                      <a:xfrm>
                        <a:off x="0" y="0"/>
                        <a:ext cx="199390" cy="605790"/>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ind w:firstLineChars="0" w:firstLine="0" w:startChars="100" w:endChars="100"/>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11</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47.7pt;mso-wrap-distance-left:9.05pt;mso-wrap-distance-right:0pt;mso-wrap-distance-top:0pt;mso-wrap-distance-bottom:0pt;margin-top:0pt;mso-position-vertical-relative:text;margin-left:426.55pt;mso-position-horizontal:outside;mso-position-horizontal-relative:margin">
              <v:fill opacity="0f"/>
              <v:textbox inset="0.000694444444444445in,0.000694444444444445in,0.000694444444444445in,0.000694444444444445in">
                <w:txbxContent>
                  <w:p>
                    <w:pPr>
                      <w:pStyle w:val="Footer"/>
                      <w:keepNext w:val="false"/>
                      <w:keepLines w:val="false"/>
                      <w:pageBreakBefore w:val="false"/>
                      <w:widowControl w:val="false"/>
                      <w:kinsoku w:val="true"/>
                      <w:overflowPunct w:val="true"/>
                      <w:autoSpaceDE w:val="true"/>
                      <w:bidi w:val="0"/>
                      <w:snapToGrid w:val="false"/>
                      <w:ind w:firstLineChars="0" w:firstLine="0" w:startChars="100" w:endChars="100"/>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11</w:t>
                    </w:r>
                    <w:r>
                      <w:rPr>
                        <w:rFonts w:eastAsia="宋体" w:cs="宋体" w:hint="eastAsia" w:ascii="宋体" w:hAnsi="宋体"/>
                        <w:sz w:val="28"/>
                        <w:szCs w:val="28"/>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suff w:val="space"/>
      <w:lvlText w:val="第%1章"/>
      <w:lvlJc w:val="start"/>
      <w:pPr>
        <w:tabs>
          <w:tab w:val="num" w:pos="0"/>
        </w:tabs>
        <w:ind w:start="631" w:hanging="0"/>
      </w:pPr>
      <w:rPr>
        <w:rFonts w:hint="eastAsia"/>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30"/>
  <w:defaultTabStop w:val="420"/>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32"/>
      <w:szCs w:val="24"/>
      <w:lang w:val="en-US" w:eastAsia="zh-CN" w:bidi="hi-IN"/>
    </w:rPr>
  </w:style>
  <w:style w:type="character" w:styleId="WW8Num1z0">
    <w:name w:val="WW8Num1z0"/>
    <w:qFormat/>
    <w:rPr>
      <w:rFonts w:hint="eastAsia"/>
    </w:rPr>
  </w:style>
  <w:style w:type="character" w:styleId="Style14">
    <w:name w:val="默认段落字体"/>
    <w:qFormat/>
    <w:rPr/>
  </w:style>
  <w:style w:type="character" w:styleId="PageNumber">
    <w:name w:val="page number"/>
    <w:basedOn w:val="Style14"/>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批注框文本"/>
    <w:basedOn w:val="Normal"/>
    <w:qFormat/>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Char">
    <w:name w:val=" Char"/>
    <w:basedOn w:val="Normal"/>
    <w:qFormat/>
    <w:pPr>
      <w:widowControl/>
      <w:spacing w:lineRule="exact" w:line="240" w:before="0" w:after="160"/>
      <w:jc w:val="start"/>
    </w:pPr>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10080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2011-07-28T19:46:00Z</dcterms:created>
  <dc:creator>微软用户</dc:creator>
  <dc:description/>
  <dc:language>en-US</dc:language>
  <cp:lastModifiedBy/>
  <dcterms:modified xsi:type="dcterms:W3CDTF">2020-05-11T15:59:23Z</dcterms:modified>
  <cp:revision>0</cp:revision>
  <dc:subject/>
  <dc:title>lenovo</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