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ageBreakBefore w:val="false"/>
        <w:widowControl w:val="false"/>
        <w:kinsoku w:val="true"/>
        <w:overflowPunct w:val="true"/>
        <w:autoSpaceDE w:val="true"/>
        <w:bidi w:val="0"/>
        <w:snapToGrid w:val="true"/>
        <w:spacing w:lineRule="exact" w:line="572"/>
        <w:ind w:firstLineChars="0" w:firstLine="0" w:startChars="0" w:start="0" w:endChars="0" w:end="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pageBreakBefore w:val="false"/>
        <w:widowControl w:val="false"/>
        <w:kinsoku w:val="true"/>
        <w:overflowPunct w:val="true"/>
        <w:autoSpaceDE w:val="true"/>
        <w:bidi w:val="0"/>
        <w:snapToGrid w:val="true"/>
        <w:spacing w:lineRule="exact" w:line="572"/>
        <w:ind w:firstLineChars="0" w:firstLine="0" w:startChars="0" w:start="0" w:endChars="0" w:end="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pageBreakBefore w:val="false"/>
        <w:widowControl w:val="false"/>
        <w:kinsoku w:val="true"/>
        <w:overflowPunct w:val="true"/>
        <w:autoSpaceDE w:val="true"/>
        <w:bidi w:val="0"/>
        <w:snapToGrid w:val="true"/>
        <w:spacing w:lineRule="exact" w:line="572"/>
        <w:ind w:firstLineChars="0" w:firstLine="0" w:startChars="0" w:start="0" w:endChars="0" w:end="0"/>
        <w:jc w:val="center"/>
        <w:textAlignment w:val="auto"/>
        <w:rPr>
          <w:rFonts w:ascii="宋体" w:hAnsi="宋体" w:eastAsia="宋体" w:cs="宋体" w:hint="eastAsia"/>
          <w:color w:val="000000"/>
          <w:sz w:val="44"/>
          <w:szCs w:val="44"/>
        </w:rPr>
      </w:pPr>
      <w:r>
        <w:rPr>
          <w:rFonts w:ascii="宋体" w:hAnsi="宋体" w:cs="宋体" w:hint="eastAsia"/>
          <w:color w:val="000000"/>
          <w:sz w:val="44"/>
          <w:szCs w:val="44"/>
        </w:rPr>
        <w:t>辽宁省城镇房地产交易管理条例</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TOC1"/>
        <w:pageBreakBefore w:val="false"/>
        <w:widowControl w:val="false"/>
        <w:kinsoku w:val="true"/>
        <w:overflowPunct w:val="true"/>
        <w:autoSpaceDE w:val="true"/>
        <w:bidi w:val="0"/>
        <w:snapToGrid w:val="true"/>
        <w:spacing w:lineRule="exact" w:line="572"/>
        <w:textAlignment w:val="auto"/>
        <w:rPr>
          <w:rFonts w:hint="eastAsia"/>
          <w:color w:val="000000"/>
        </w:rPr>
      </w:pPr>
      <w:r>
        <w:rPr>
          <w:rFonts w:hint="eastAsia"/>
          <w:color w:val="000000"/>
        </w:rPr>
        <w:t>（</w:t>
      </w:r>
      <w:r>
        <w:rPr>
          <w:rFonts w:hint="eastAsia"/>
          <w:color w:val="000000"/>
        </w:rPr>
        <w:t>1995</w:t>
      </w:r>
      <w:r>
        <w:rPr>
          <w:rFonts w:hint="eastAsia"/>
          <w:color w:val="000000"/>
        </w:rPr>
        <w:t>年</w:t>
      </w:r>
      <w:r>
        <w:rPr>
          <w:rFonts w:hint="eastAsia"/>
          <w:color w:val="000000"/>
        </w:rPr>
        <w:t>1</w:t>
      </w:r>
      <w:r>
        <w:rPr>
          <w:rFonts w:hint="eastAsia"/>
          <w:color w:val="000000"/>
        </w:rPr>
        <w:t>月</w:t>
      </w:r>
      <w:r>
        <w:rPr>
          <w:rFonts w:hint="eastAsia"/>
          <w:color w:val="000000"/>
        </w:rPr>
        <w:t>20</w:t>
      </w:r>
      <w:r>
        <w:rPr>
          <w:rFonts w:hint="eastAsia"/>
          <w:color w:val="000000"/>
        </w:rPr>
        <w:t>日辽宁省第八届人民代表大会常务委员会第十二次会议通过  根据</w:t>
      </w:r>
      <w:r>
        <w:rPr>
          <w:rFonts w:hint="eastAsia"/>
          <w:color w:val="000000"/>
        </w:rPr>
        <w:t>2000</w:t>
      </w:r>
      <w:r>
        <w:rPr>
          <w:rFonts w:hint="eastAsia"/>
          <w:color w:val="000000"/>
        </w:rPr>
        <w:t>年</w:t>
      </w:r>
      <w:r>
        <w:rPr>
          <w:rFonts w:hint="eastAsia"/>
          <w:color w:val="000000"/>
        </w:rPr>
        <w:t>1</w:t>
      </w:r>
      <w:r>
        <w:rPr>
          <w:rFonts w:hint="eastAsia"/>
          <w:color w:val="000000"/>
        </w:rPr>
        <w:t>月</w:t>
      </w:r>
      <w:r>
        <w:rPr>
          <w:rFonts w:hint="eastAsia"/>
          <w:color w:val="000000"/>
        </w:rPr>
        <w:t>27</w:t>
      </w:r>
      <w:r>
        <w:rPr>
          <w:rFonts w:hint="eastAsia"/>
          <w:color w:val="000000"/>
        </w:rPr>
        <w:t>日辽宁省人民代表大会常务委员会第十三次会议《关于修改〈辽宁省城镇房地产交易管理条例〉的决定》第一次修正  根据</w:t>
      </w:r>
      <w:r>
        <w:rPr>
          <w:rFonts w:hint="eastAsia"/>
          <w:color w:val="000000"/>
        </w:rPr>
        <w:t>2002</w:t>
      </w:r>
      <w:r>
        <w:rPr>
          <w:rFonts w:hint="eastAsia"/>
          <w:color w:val="000000"/>
        </w:rPr>
        <w:t>年</w:t>
      </w:r>
      <w:r>
        <w:rPr>
          <w:rFonts w:hint="eastAsia"/>
          <w:color w:val="000000"/>
        </w:rPr>
        <w:t>5</w:t>
      </w:r>
      <w:r>
        <w:rPr>
          <w:rFonts w:hint="eastAsia"/>
          <w:color w:val="000000"/>
        </w:rPr>
        <w:t>月</w:t>
      </w:r>
      <w:r>
        <w:rPr>
          <w:rFonts w:hint="eastAsia"/>
          <w:color w:val="000000"/>
        </w:rPr>
        <w:t>30</w:t>
      </w:r>
      <w:r>
        <w:rPr>
          <w:rFonts w:hint="eastAsia"/>
          <w:color w:val="000000"/>
        </w:rPr>
        <w:t>日辽宁省第九届人民代表大会常务委员会第三十次会议《关于修改〈辽宁省城镇房地产交易管理条例〉的决定》第二次修正  根据</w:t>
      </w:r>
      <w:r>
        <w:rPr>
          <w:rFonts w:hint="eastAsia"/>
          <w:color w:val="000000"/>
        </w:rPr>
        <w:t>2006</w:t>
      </w:r>
      <w:r>
        <w:rPr>
          <w:rFonts w:hint="eastAsia"/>
          <w:color w:val="000000"/>
        </w:rPr>
        <w:t>年</w:t>
      </w:r>
      <w:r>
        <w:rPr>
          <w:rFonts w:hint="eastAsia"/>
          <w:color w:val="000000"/>
        </w:rPr>
        <w:t>1</w:t>
      </w:r>
      <w:r>
        <w:rPr>
          <w:rFonts w:hint="eastAsia"/>
          <w:color w:val="000000"/>
        </w:rPr>
        <w:t>月</w:t>
      </w:r>
      <w:r>
        <w:rPr>
          <w:rFonts w:hint="eastAsia"/>
          <w:color w:val="000000"/>
        </w:rPr>
        <w:t>13</w:t>
      </w:r>
      <w:r>
        <w:rPr>
          <w:rFonts w:hint="eastAsia"/>
          <w:color w:val="000000"/>
        </w:rPr>
        <w:t>日辽宁省第十届人民代表大会常务委员会第二十三次会议《关于修改〈辽宁省城镇房地产交易管理条例〉的决定》第三次修正  根据</w:t>
      </w:r>
      <w:r>
        <w:rPr>
          <w:rFonts w:hint="eastAsia"/>
          <w:color w:val="000000"/>
        </w:rPr>
        <w:t>2014</w:t>
      </w:r>
      <w:r>
        <w:rPr>
          <w:rFonts w:hint="eastAsia"/>
          <w:color w:val="000000"/>
        </w:rPr>
        <w:t>年</w:t>
      </w:r>
      <w:r>
        <w:rPr>
          <w:rFonts w:hint="eastAsia"/>
          <w:color w:val="000000"/>
        </w:rPr>
        <w:t>9</w:t>
      </w:r>
      <w:r>
        <w:rPr>
          <w:rFonts w:hint="eastAsia"/>
          <w:color w:val="000000"/>
        </w:rPr>
        <w:t>月</w:t>
      </w:r>
      <w:r>
        <w:rPr>
          <w:rFonts w:hint="eastAsia"/>
          <w:color w:val="000000"/>
        </w:rPr>
        <w:t>26</w:t>
      </w:r>
      <w:r>
        <w:rPr>
          <w:rFonts w:hint="eastAsia"/>
          <w:color w:val="000000"/>
        </w:rPr>
        <w:t>日辽宁省第十二届人民代表大会常务委员会第十二次会议《关于修改部分地方性法规的决定》第四次修正  根据</w:t>
      </w:r>
      <w:r>
        <w:rPr>
          <w:rFonts w:hint="eastAsia"/>
          <w:color w:val="000000"/>
        </w:rPr>
        <w:t>2020</w:t>
      </w:r>
      <w:r>
        <w:rPr>
          <w:rFonts w:hint="eastAsia"/>
          <w:color w:val="000000"/>
        </w:rPr>
        <w:t>年</w:t>
      </w:r>
      <w:r>
        <w:rPr>
          <w:rFonts w:hint="eastAsia"/>
          <w:color w:val="000000"/>
        </w:rPr>
        <w:t>11</w:t>
      </w:r>
      <w:r>
        <w:rPr>
          <w:rFonts w:hint="eastAsia"/>
          <w:color w:val="000000"/>
        </w:rPr>
        <w:t>月</w:t>
      </w:r>
      <w:r>
        <w:rPr>
          <w:rFonts w:hint="eastAsia"/>
          <w:color w:val="000000"/>
        </w:rPr>
        <w:t>24</w:t>
      </w:r>
      <w:r>
        <w:rPr>
          <w:rFonts w:hint="eastAsia"/>
          <w:color w:val="000000"/>
        </w:rPr>
        <w:t>日辽宁省第十三届人民代表大会常务委员会第二十三次会议《关于修改〈辽宁省城镇房地产交易管理条例〉等</w:t>
      </w:r>
      <w:r>
        <w:rPr>
          <w:rFonts w:hint="eastAsia"/>
          <w:color w:val="000000"/>
        </w:rPr>
        <w:t>12</w:t>
      </w:r>
      <w:r>
        <w:rPr>
          <w:rFonts w:hint="eastAsia"/>
          <w:color w:val="000000"/>
        </w:rPr>
        <w:t>件地方性法规的决定》第五次修正）</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r>
    </w:p>
    <w:p>
      <w:pPr>
        <w:pStyle w:val="Normal"/>
        <w:pageBreakBefore w:val="false"/>
        <w:widowControl w:val="false"/>
        <w:kinsoku w:val="true"/>
        <w:overflowPunct w:val="true"/>
        <w:autoSpaceDE w:val="true"/>
        <w:bidi w:val="0"/>
        <w:snapToGrid w:val="true"/>
        <w:spacing w:lineRule="exact" w:line="572"/>
        <w:ind w:firstLineChars="0" w:firstLine="0" w:startChars="0" w:start="0" w:endChars="0" w:end="0"/>
        <w:jc w:val="center"/>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r>
    </w:p>
    <w:p>
      <w:pPr>
        <w:pStyle w:val="Normal"/>
        <w:pageBreakBefore w:val="false"/>
        <w:widowControl w:val="false"/>
        <w:kinsoku w:val="true"/>
        <w:overflowPunct w:val="true"/>
        <w:autoSpaceDE w:val="true"/>
        <w:bidi w:val="0"/>
        <w:snapToGrid w:val="true"/>
        <w:spacing w:lineRule="exact" w:line="572"/>
        <w:ind w:firstLineChars="0" w:firstLine="0" w:startChars="0" w:start="0" w:endChars="0" w:end="0"/>
        <w:jc w:val="center"/>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r>
    </w:p>
    <w:p>
      <w:pPr>
        <w:pStyle w:val="Normal"/>
        <w:pageBreakBefore w:val="false"/>
        <w:widowControl w:val="false"/>
        <w:kinsoku w:val="true"/>
        <w:overflowPunct w:val="true"/>
        <w:autoSpaceDE w:val="true"/>
        <w:bidi w:val="0"/>
        <w:snapToGrid w:val="true"/>
        <w:spacing w:lineRule="exact" w:line="572"/>
        <w:ind w:firstLineChars="0" w:firstLine="0" w:startChars="0" w:start="0" w:endChars="0" w:end="0"/>
        <w:jc w:val="center"/>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r>
    </w:p>
    <w:p>
      <w:pPr>
        <w:pStyle w:val="Normal"/>
        <w:pageBreakBefore w:val="false"/>
        <w:widowControl w:val="false"/>
        <w:kinsoku w:val="true"/>
        <w:overflowPunct w:val="true"/>
        <w:autoSpaceDE w:val="true"/>
        <w:bidi w:val="0"/>
        <w:snapToGrid w:val="true"/>
        <w:spacing w:lineRule="exact" w:line="572"/>
        <w:ind w:firstLineChars="0" w:firstLine="0" w:startChars="0" w:start="0" w:endChars="0" w:end="0"/>
        <w:jc w:val="center"/>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目    录</w:t>
      </w:r>
    </w:p>
    <w:p>
      <w:pPr>
        <w:pStyle w:val="Normal"/>
        <w:pageBreakBefore w:val="false"/>
        <w:widowControl w:val="false"/>
        <w:kinsoku w:val="true"/>
        <w:overflowPunct w:val="true"/>
        <w:autoSpaceDE w:val="true"/>
        <w:bidi w:val="0"/>
        <w:snapToGrid w:val="true"/>
        <w:spacing w:lineRule="exact" w:line="572"/>
        <w:ind w:firstLineChars="0" w:firstLine="0" w:startChars="0" w:start="0" w:endChars="0" w:end="0"/>
        <w:jc w:val="center"/>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r>
    </w:p>
    <w:sdt>
      <w:sdtPr>
        <w:docPartObj>
          <w:docPartGallery w:val="Table of Contents"/>
          <w:docPartUnique w:val="true"/>
        </w:docPartObj>
      </w:sdtPr>
      <w:sdtContent>
        <w:p>
          <w:pPr>
            <w:pStyle w:val="TOC1"/>
            <w:keepNext w:val="false"/>
            <w:keepLines w:val="false"/>
            <w:pageBreakBefore w:val="false"/>
            <w:widowControl w:val="false"/>
            <w:tabs>
              <w:tab w:val="clear" w:pos="420"/>
              <w:tab w:val="right" w:pos="8844" w:leader="none"/>
            </w:tabs>
            <w:kinsoku w:val="true"/>
            <w:overflowPunct w:val="true"/>
            <w:autoSpaceDE w:val="true"/>
            <w:bidi w:val="0"/>
            <w:snapToGrid w:val="true"/>
            <w:spacing w:lineRule="exact" w:line="572"/>
            <w:ind w:firstLineChars="200" w:startChars="0" w:start="0" w:endChars="0" w:end="0"/>
            <w:textAlignment w:val="auto"/>
            <w:rPr>
              <w:rFonts w:ascii="楷体" w:hAnsi="楷体" w:eastAsia="楷体" w:cs="楷体" w:hint="eastAsia"/>
              <w:color w:val="000000"/>
              <w:sz w:val="32"/>
              <w:szCs w:val="32"/>
            </w:rPr>
          </w:pPr>
          <w:r>
            <w:fldChar w:fldCharType="begin"/>
          </w:r>
          <w:r>
            <w:rPr>
              <w:rStyle w:val="IndexLink"/>
              <w:rFonts w:ascii="楷体" w:hAnsi="楷体" w:cs="楷体" w:hint="eastAsia"/>
              <w:color w:val="000000"/>
              <w:sz w:val="32"/>
              <w:szCs w:val="32"/>
            </w:rPr>
            <w:instrText xml:space="preserve">TOC \o "1-1" \n  \h \u </w:instrText>
          </w:r>
          <w:r>
            <w:rPr>
              <w:rStyle w:val="IndexLink"/>
              <w:rFonts w:ascii="楷体" w:hAnsi="楷体" w:cs="楷体" w:hint="eastAsia"/>
              <w:color w:val="000000"/>
              <w:sz w:val="32"/>
              <w:szCs w:val="32"/>
            </w:rPr>
            <w:fldChar w:fldCharType="separate"/>
          </w:r>
          <w:hyperlink w:anchor="__RefHeading___Toc28866">
            <w:r>
              <w:rPr>
                <w:rStyle w:val="IndexLink"/>
                <w:rFonts w:ascii="楷体" w:hAnsi="楷体" w:cs="楷体" w:hint="eastAsia"/>
                <w:color w:val="000000"/>
                <w:sz w:val="32"/>
                <w:szCs w:val="32"/>
              </w:rPr>
              <w:t>第一章  总则</w:t>
            </w:r>
          </w:hyperlink>
        </w:p>
        <w:p>
          <w:pPr>
            <w:pStyle w:val="TOC1"/>
            <w:keepNext w:val="false"/>
            <w:keepLines w:val="false"/>
            <w:pageBreakBefore w:val="false"/>
            <w:widowControl w:val="false"/>
            <w:tabs>
              <w:tab w:val="clear" w:pos="420"/>
              <w:tab w:val="right" w:pos="8844" w:leader="none"/>
            </w:tabs>
            <w:kinsoku w:val="true"/>
            <w:overflowPunct w:val="true"/>
            <w:autoSpaceDE w:val="true"/>
            <w:bidi w:val="0"/>
            <w:snapToGrid w:val="true"/>
            <w:spacing w:lineRule="exact" w:line="572"/>
            <w:ind w:firstLineChars="200" w:startChars="0" w:start="0" w:endChars="0" w:end="0"/>
            <w:textAlignment w:val="auto"/>
            <w:rPr>
              <w:rFonts w:ascii="楷体" w:hAnsi="楷体" w:eastAsia="楷体" w:cs="楷体" w:hint="eastAsia"/>
              <w:color w:val="000000"/>
              <w:sz w:val="32"/>
              <w:szCs w:val="32"/>
            </w:rPr>
          </w:pPr>
          <w:hyperlink w:anchor="__RefHeading___Toc17132">
            <w:r>
              <w:rPr>
                <w:rStyle w:val="IndexLink"/>
                <w:rFonts w:ascii="楷体" w:hAnsi="楷体" w:cs="楷体" w:hint="eastAsia"/>
                <w:color w:val="000000"/>
                <w:sz w:val="32"/>
                <w:szCs w:val="32"/>
              </w:rPr>
              <w:t>第二章  交易管理一般规定</w:t>
            </w:r>
          </w:hyperlink>
        </w:p>
        <w:p>
          <w:pPr>
            <w:pStyle w:val="TOC1"/>
            <w:keepNext w:val="false"/>
            <w:keepLines w:val="false"/>
            <w:pageBreakBefore w:val="false"/>
            <w:widowControl w:val="false"/>
            <w:tabs>
              <w:tab w:val="clear" w:pos="420"/>
              <w:tab w:val="right" w:pos="8844" w:leader="none"/>
            </w:tabs>
            <w:kinsoku w:val="true"/>
            <w:overflowPunct w:val="true"/>
            <w:autoSpaceDE w:val="true"/>
            <w:bidi w:val="0"/>
            <w:snapToGrid w:val="true"/>
            <w:spacing w:lineRule="exact" w:line="572"/>
            <w:ind w:firstLineChars="200" w:startChars="0" w:start="0" w:endChars="0" w:end="0"/>
            <w:textAlignment w:val="auto"/>
            <w:rPr>
              <w:rFonts w:ascii="楷体" w:hAnsi="楷体" w:eastAsia="楷体" w:cs="楷体" w:hint="eastAsia"/>
              <w:color w:val="000000"/>
              <w:sz w:val="32"/>
              <w:szCs w:val="32"/>
            </w:rPr>
          </w:pPr>
          <w:hyperlink w:anchor="__RefHeading___Toc21442">
            <w:r>
              <w:rPr>
                <w:rStyle w:val="IndexLink"/>
                <w:rFonts w:ascii="楷体" w:hAnsi="楷体" w:cs="楷体" w:hint="eastAsia"/>
                <w:color w:val="000000"/>
                <w:sz w:val="32"/>
                <w:szCs w:val="32"/>
              </w:rPr>
              <w:t>第三章  房地产转让</w:t>
            </w:r>
          </w:hyperlink>
        </w:p>
        <w:p>
          <w:pPr>
            <w:pStyle w:val="TOC1"/>
            <w:keepNext w:val="false"/>
            <w:keepLines w:val="false"/>
            <w:pageBreakBefore w:val="false"/>
            <w:widowControl w:val="false"/>
            <w:tabs>
              <w:tab w:val="clear" w:pos="420"/>
              <w:tab w:val="right" w:pos="8844" w:leader="none"/>
            </w:tabs>
            <w:kinsoku w:val="true"/>
            <w:overflowPunct w:val="true"/>
            <w:autoSpaceDE w:val="true"/>
            <w:bidi w:val="0"/>
            <w:snapToGrid w:val="true"/>
            <w:spacing w:lineRule="exact" w:line="572"/>
            <w:ind w:firstLineChars="200" w:startChars="0" w:start="0" w:endChars="0" w:end="0"/>
            <w:textAlignment w:val="auto"/>
            <w:rPr>
              <w:rFonts w:ascii="楷体" w:hAnsi="楷体" w:eastAsia="楷体" w:cs="楷体" w:hint="eastAsia"/>
              <w:color w:val="000000"/>
              <w:sz w:val="32"/>
              <w:szCs w:val="32"/>
            </w:rPr>
          </w:pPr>
          <w:hyperlink w:anchor="__RefHeading___Toc16688">
            <w:r>
              <w:rPr>
                <w:rStyle w:val="IndexLink"/>
                <w:rFonts w:ascii="楷体" w:hAnsi="楷体" w:cs="楷体" w:hint="eastAsia"/>
                <w:color w:val="000000"/>
                <w:sz w:val="32"/>
                <w:szCs w:val="32"/>
              </w:rPr>
              <w:t>第四章  房屋租赁</w:t>
            </w:r>
          </w:hyperlink>
        </w:p>
        <w:p>
          <w:pPr>
            <w:pStyle w:val="TOC1"/>
            <w:keepNext w:val="false"/>
            <w:keepLines w:val="false"/>
            <w:pageBreakBefore w:val="false"/>
            <w:widowControl w:val="false"/>
            <w:tabs>
              <w:tab w:val="clear" w:pos="420"/>
              <w:tab w:val="right" w:pos="8844" w:leader="none"/>
            </w:tabs>
            <w:kinsoku w:val="true"/>
            <w:overflowPunct w:val="true"/>
            <w:autoSpaceDE w:val="true"/>
            <w:bidi w:val="0"/>
            <w:snapToGrid w:val="true"/>
            <w:spacing w:lineRule="exact" w:line="572"/>
            <w:ind w:firstLineChars="200" w:startChars="0" w:start="0" w:endChars="0" w:end="0"/>
            <w:textAlignment w:val="auto"/>
            <w:rPr>
              <w:rFonts w:ascii="楷体" w:hAnsi="楷体" w:eastAsia="楷体" w:cs="楷体" w:hint="eastAsia"/>
              <w:color w:val="000000"/>
              <w:sz w:val="32"/>
              <w:szCs w:val="32"/>
            </w:rPr>
          </w:pPr>
          <w:hyperlink w:anchor="__RefHeading___Toc14147">
            <w:r>
              <w:rPr>
                <w:rStyle w:val="IndexLink"/>
                <w:rFonts w:ascii="楷体" w:hAnsi="楷体" w:cs="楷体" w:hint="eastAsia"/>
                <w:color w:val="000000"/>
                <w:sz w:val="32"/>
                <w:szCs w:val="32"/>
              </w:rPr>
              <w:t>第五章  房地产抵押</w:t>
            </w:r>
          </w:hyperlink>
        </w:p>
        <w:p>
          <w:pPr>
            <w:pStyle w:val="TOC1"/>
            <w:keepNext w:val="false"/>
            <w:keepLines w:val="false"/>
            <w:pageBreakBefore w:val="false"/>
            <w:widowControl w:val="false"/>
            <w:tabs>
              <w:tab w:val="clear" w:pos="420"/>
              <w:tab w:val="right" w:pos="8844" w:leader="none"/>
            </w:tabs>
            <w:kinsoku w:val="true"/>
            <w:overflowPunct w:val="true"/>
            <w:autoSpaceDE w:val="true"/>
            <w:bidi w:val="0"/>
            <w:snapToGrid w:val="true"/>
            <w:spacing w:lineRule="exact" w:line="572"/>
            <w:ind w:firstLineChars="200" w:startChars="0" w:start="0" w:endChars="0" w:end="0"/>
            <w:textAlignment w:val="auto"/>
            <w:rPr>
              <w:rFonts w:ascii="楷体" w:hAnsi="楷体" w:eastAsia="楷体" w:cs="楷体" w:hint="eastAsia"/>
              <w:color w:val="000000"/>
              <w:sz w:val="32"/>
              <w:szCs w:val="32"/>
            </w:rPr>
          </w:pPr>
          <w:hyperlink w:anchor="__RefHeading___Toc32618">
            <w:r>
              <w:rPr>
                <w:rStyle w:val="IndexLink"/>
                <w:rFonts w:ascii="楷体" w:hAnsi="楷体" w:cs="楷体" w:hint="eastAsia"/>
                <w:color w:val="000000"/>
                <w:sz w:val="32"/>
                <w:szCs w:val="32"/>
              </w:rPr>
              <w:t>第六章  房屋典当</w:t>
            </w:r>
          </w:hyperlink>
        </w:p>
        <w:p>
          <w:pPr>
            <w:pStyle w:val="TOC1"/>
            <w:keepNext w:val="false"/>
            <w:keepLines w:val="false"/>
            <w:pageBreakBefore w:val="false"/>
            <w:widowControl w:val="false"/>
            <w:tabs>
              <w:tab w:val="clear" w:pos="420"/>
              <w:tab w:val="right" w:pos="8844" w:leader="none"/>
            </w:tabs>
            <w:kinsoku w:val="true"/>
            <w:overflowPunct w:val="true"/>
            <w:autoSpaceDE w:val="true"/>
            <w:bidi w:val="0"/>
            <w:snapToGrid w:val="true"/>
            <w:spacing w:lineRule="exact" w:line="572"/>
            <w:ind w:firstLineChars="200" w:startChars="0" w:start="0" w:endChars="0" w:end="0"/>
            <w:textAlignment w:val="auto"/>
            <w:rPr>
              <w:rFonts w:ascii="楷体" w:hAnsi="楷体" w:eastAsia="楷体" w:cs="楷体" w:hint="eastAsia"/>
              <w:color w:val="000000"/>
              <w:sz w:val="32"/>
              <w:szCs w:val="32"/>
            </w:rPr>
          </w:pPr>
          <w:hyperlink w:anchor="__RefHeading___Toc14211">
            <w:r>
              <w:rPr>
                <w:rStyle w:val="IndexLink"/>
                <w:rFonts w:ascii="楷体" w:hAnsi="楷体" w:cs="楷体" w:hint="eastAsia"/>
                <w:color w:val="000000"/>
                <w:sz w:val="32"/>
                <w:szCs w:val="32"/>
              </w:rPr>
              <w:t>第七章  房屋交换</w:t>
            </w:r>
          </w:hyperlink>
        </w:p>
        <w:p>
          <w:pPr>
            <w:pStyle w:val="TOC1"/>
            <w:keepNext w:val="false"/>
            <w:keepLines w:val="false"/>
            <w:pageBreakBefore w:val="false"/>
            <w:widowControl w:val="false"/>
            <w:tabs>
              <w:tab w:val="clear" w:pos="420"/>
              <w:tab w:val="right" w:pos="8844" w:leader="none"/>
            </w:tabs>
            <w:kinsoku w:val="true"/>
            <w:overflowPunct w:val="true"/>
            <w:autoSpaceDE w:val="true"/>
            <w:bidi w:val="0"/>
            <w:snapToGrid w:val="true"/>
            <w:spacing w:lineRule="exact" w:line="572"/>
            <w:ind w:firstLineChars="200" w:startChars="0" w:start="0" w:endChars="0" w:end="0"/>
            <w:textAlignment w:val="auto"/>
            <w:rPr>
              <w:rFonts w:ascii="楷体" w:hAnsi="楷体" w:eastAsia="楷体" w:cs="楷体" w:hint="eastAsia"/>
              <w:color w:val="000000"/>
              <w:sz w:val="32"/>
              <w:szCs w:val="32"/>
            </w:rPr>
          </w:pPr>
          <w:hyperlink w:anchor="__RefHeading___Toc28282">
            <w:r>
              <w:rPr>
                <w:rStyle w:val="IndexLink"/>
                <w:rFonts w:ascii="楷体" w:hAnsi="楷体" w:cs="楷体" w:hint="eastAsia"/>
                <w:color w:val="000000"/>
                <w:sz w:val="32"/>
                <w:szCs w:val="32"/>
              </w:rPr>
              <w:t>第八章  税费</w:t>
            </w:r>
          </w:hyperlink>
        </w:p>
        <w:p>
          <w:pPr>
            <w:pStyle w:val="TOC1"/>
            <w:keepNext w:val="false"/>
            <w:keepLines w:val="false"/>
            <w:pageBreakBefore w:val="false"/>
            <w:widowControl w:val="false"/>
            <w:tabs>
              <w:tab w:val="clear" w:pos="420"/>
              <w:tab w:val="right" w:pos="8844" w:leader="none"/>
            </w:tabs>
            <w:kinsoku w:val="true"/>
            <w:overflowPunct w:val="true"/>
            <w:autoSpaceDE w:val="true"/>
            <w:bidi w:val="0"/>
            <w:snapToGrid w:val="true"/>
            <w:spacing w:lineRule="exact" w:line="572"/>
            <w:ind w:firstLineChars="200" w:startChars="0" w:start="0" w:endChars="0" w:end="0"/>
            <w:textAlignment w:val="auto"/>
            <w:rPr>
              <w:rFonts w:ascii="楷体" w:hAnsi="楷体" w:eastAsia="楷体" w:cs="楷体" w:hint="eastAsia"/>
              <w:color w:val="000000"/>
              <w:sz w:val="32"/>
              <w:szCs w:val="32"/>
            </w:rPr>
          </w:pPr>
          <w:hyperlink w:anchor="__RefHeading___Toc14593">
            <w:r>
              <w:rPr>
                <w:rStyle w:val="IndexLink"/>
                <w:rFonts w:ascii="楷体" w:hAnsi="楷体" w:cs="楷体" w:hint="eastAsia"/>
                <w:color w:val="000000"/>
                <w:sz w:val="32"/>
                <w:szCs w:val="32"/>
              </w:rPr>
              <w:t>第九章  罚则</w:t>
            </w:r>
          </w:hyperlink>
        </w:p>
        <w:p>
          <w:pPr>
            <w:pStyle w:val="TOC1"/>
            <w:keepNext w:val="false"/>
            <w:keepLines w:val="false"/>
            <w:pageBreakBefore w:val="false"/>
            <w:widowControl w:val="false"/>
            <w:tabs>
              <w:tab w:val="clear" w:pos="420"/>
              <w:tab w:val="right" w:pos="8844" w:leader="none"/>
            </w:tabs>
            <w:kinsoku w:val="true"/>
            <w:overflowPunct w:val="true"/>
            <w:autoSpaceDE w:val="true"/>
            <w:bidi w:val="0"/>
            <w:snapToGrid w:val="true"/>
            <w:spacing w:lineRule="exact" w:line="572"/>
            <w:ind w:firstLineChars="200" w:startChars="0" w:start="0" w:endChars="0" w:end="0"/>
            <w:textAlignment w:val="auto"/>
            <w:rPr>
              <w:rFonts w:ascii="楷体" w:hAnsi="楷体" w:eastAsia="楷体" w:cs="楷体" w:hint="eastAsia"/>
              <w:color w:val="000000"/>
              <w:sz w:val="32"/>
              <w:szCs w:val="32"/>
            </w:rPr>
          </w:pPr>
          <w:hyperlink w:anchor="__RefHeading___Toc9114">
            <w:r>
              <w:rPr>
                <w:rStyle w:val="IndexLink"/>
                <w:rFonts w:ascii="楷体" w:hAnsi="楷体" w:cs="楷体" w:hint="eastAsia"/>
                <w:color w:val="000000"/>
                <w:sz w:val="32"/>
                <w:szCs w:val="32"/>
              </w:rPr>
              <w:t>第十章  附则</w:t>
            </w:r>
          </w:hyperlink>
          <w:r>
            <w:rPr>
              <w:rStyle w:val="IndexLink"/>
              <w:rFonts w:ascii="楷体" w:hAnsi="楷体" w:cs="楷体" w:hint="eastAsia"/>
              <w:color w:val="000000"/>
              <w:sz w:val="32"/>
              <w:szCs w:val="32"/>
            </w:rPr>
            <w:fldChar w:fldCharType="end"/>
          </w:r>
        </w:p>
      </w:sdtContent>
    </w:sdt>
    <w:p>
      <w:pPr>
        <w:pStyle w:val="Normal"/>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jc w:val="center"/>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r>
    </w:p>
    <w:p>
      <w:pPr>
        <w:pStyle w:val="Heading1"/>
        <w:pageBreakBefore w:val="false"/>
        <w:widowControl w:val="false"/>
        <w:kinsoku w:val="true"/>
        <w:overflowPunct w:val="true"/>
        <w:autoSpaceDE w:val="true"/>
        <w:bidi w:val="0"/>
        <w:snapToGrid w:val="true"/>
        <w:spacing w:lineRule="exact" w:line="572"/>
        <w:ind w:endChars="0" w:end="0"/>
        <w:textAlignment w:val="auto"/>
        <w:rPr>
          <w:rFonts w:hint="eastAsia"/>
          <w:color w:val="000000"/>
        </w:rPr>
      </w:pPr>
      <w:bookmarkStart w:id="0" w:name="__RefHeading___Toc28866"/>
      <w:bookmarkEnd w:id="0"/>
      <w:r>
        <w:rPr>
          <w:rFonts w:hint="eastAsia"/>
          <w:color w:val="000000"/>
        </w:rPr>
        <w:t>第一章  总则</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第一条</w:t>
      </w:r>
      <w:r>
        <w:rPr>
          <w:rFonts w:ascii="仿宋" w:hAnsi="仿宋" w:cs="仿宋" w:hint="eastAsia" w:eastAsia="仿宋"/>
          <w:color w:val="000000"/>
          <w:sz w:val="32"/>
          <w:szCs w:val="32"/>
        </w:rPr>
        <w:t xml:space="preserve">  为促进城镇房地产业发展，维护房地产交易秩序，保护国家和房地产交易当事人的合法权益，根据《中华人民共和国城市房地产管理法》及其他法律、法规，制定本条例。</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第二条</w:t>
      </w:r>
      <w:r>
        <w:rPr>
          <w:rFonts w:ascii="仿宋" w:hAnsi="仿宋" w:cs="仿宋" w:hint="eastAsia" w:eastAsia="仿宋"/>
          <w:color w:val="000000"/>
          <w:sz w:val="32"/>
          <w:szCs w:val="32"/>
        </w:rPr>
        <w:t xml:space="preserve">  在我省城镇进行房地产交易，应当遵守本条例。</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本条例所称房地产交易，包括房地产转让、房地产抵押和房屋租赁。</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因城市住房制度改革买卖房屋的，按照国家和省有关规定执行。</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第三条</w:t>
      </w:r>
      <w:r>
        <w:rPr>
          <w:rFonts w:ascii="仿宋" w:hAnsi="仿宋" w:cs="仿宋" w:hint="eastAsia" w:eastAsia="仿宋"/>
          <w:color w:val="000000"/>
          <w:sz w:val="32"/>
          <w:szCs w:val="32"/>
        </w:rPr>
        <w:t xml:space="preserve">  房地产交易应当遵循自愿平等、协商一致、公开公正、有偿互利的原则。</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第四条</w:t>
      </w:r>
      <w:r>
        <w:rPr>
          <w:rFonts w:ascii="仿宋" w:hAnsi="仿宋" w:cs="仿宋" w:hint="eastAsia" w:eastAsia="仿宋"/>
          <w:color w:val="000000"/>
          <w:sz w:val="32"/>
          <w:szCs w:val="32"/>
        </w:rPr>
        <w:t xml:space="preserve">  房地产交易当事人，应当遵守国家法律、法规，其合法权益受法律保护。</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第五条</w:t>
      </w:r>
      <w:r>
        <w:rPr>
          <w:rFonts w:ascii="仿宋" w:hAnsi="仿宋" w:cs="仿宋" w:hint="eastAsia" w:eastAsia="仿宋"/>
          <w:color w:val="000000"/>
          <w:sz w:val="32"/>
          <w:szCs w:val="32"/>
        </w:rPr>
        <w:t xml:space="preserve">  省、市、县（含县级市，下同）房产管理部门、土地管理部门按照本级人民政府规定的职权，各司其职，密切配合，负责房地产管理。</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市人民政府可以确定有关部门组成房地产交易管理机构，负责房地产交易日常管理工作。</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住房城乡建设、自然资源、市场监管、税务、发展改革、国资等有关部门按照各自的职责分工，依法对房地产交易活动实施监督管理。</w:t>
      </w:r>
    </w:p>
    <w:p>
      <w:pPr>
        <w:pStyle w:val="Heading1"/>
        <w:pageBreakBefore w:val="false"/>
        <w:widowControl w:val="false"/>
        <w:kinsoku w:val="true"/>
        <w:overflowPunct w:val="true"/>
        <w:autoSpaceDE w:val="true"/>
        <w:bidi w:val="0"/>
        <w:snapToGrid w:val="true"/>
        <w:spacing w:lineRule="exact" w:line="572"/>
        <w:ind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1" w:name="__RefHeading___Toc17132"/>
    </w:p>
    <w:p>
      <w:pPr>
        <w:pStyle w:val="Heading1"/>
        <w:pageBreakBefore w:val="false"/>
        <w:widowControl w:val="false"/>
        <w:kinsoku w:val="true"/>
        <w:overflowPunct w:val="true"/>
        <w:autoSpaceDE w:val="true"/>
        <w:bidi w:val="0"/>
        <w:snapToGrid w:val="true"/>
        <w:spacing w:lineRule="exact" w:line="572"/>
        <w:ind w:endChars="0" w:end="0"/>
        <w:textAlignment w:val="auto"/>
        <w:rPr>
          <w:rFonts w:hint="eastAsia"/>
          <w:color w:val="000000"/>
        </w:rPr>
      </w:pPr>
      <w:r>
        <w:rPr>
          <w:rFonts w:hint="eastAsia"/>
          <w:color w:val="000000"/>
        </w:rPr>
        <w:t>第二章  交易管理一般规定</w:t>
      </w:r>
      <w:bookmarkEnd w:id="1"/>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第六条</w:t>
      </w:r>
      <w:r>
        <w:rPr>
          <w:rFonts w:ascii="仿宋" w:hAnsi="仿宋" w:cs="仿宋" w:hint="eastAsia" w:eastAsia="仿宋"/>
          <w:color w:val="000000"/>
          <w:sz w:val="32"/>
          <w:szCs w:val="32"/>
        </w:rPr>
        <w:t xml:space="preserve">  进行房地产交易，交易当事人应当依法签订合同，并持下列文件到不动产登记机构办理登记手续：</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（一）不动产权属证书或者房屋所有权证及该房屋占用范围内的土地使用权证；</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（二）当事人身份证件或者法人资格证书；当事人委托他人代理的，应该出示委托证明文件；</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（三）房地产交易书面合同文本；</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（四）法律、行政法规规定的其他证明材料。</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第七条</w:t>
      </w:r>
      <w:r>
        <w:rPr>
          <w:rFonts w:ascii="仿宋" w:hAnsi="仿宋" w:cs="仿宋" w:hint="eastAsia" w:eastAsia="仿宋"/>
          <w:color w:val="000000"/>
          <w:sz w:val="32"/>
          <w:szCs w:val="32"/>
        </w:rPr>
        <w:t xml:space="preserve">  房地产交易当事人应当使用国家规定的房地产交易合同文本。合同文本内容应当包括：当事人姓名、法人名称；房屋坐落、面积结构、附属设施状况、占地面积、标的物四至界限、用途、交易方式；用地面积、土地使用用途。土地使用权取得方式；违约责任及其他相关事项。</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第八条</w:t>
      </w:r>
      <w:r>
        <w:rPr>
          <w:rFonts w:ascii="仿宋" w:hAnsi="仿宋" w:cs="仿宋" w:hint="eastAsia" w:eastAsia="仿宋"/>
          <w:color w:val="000000"/>
          <w:sz w:val="32"/>
          <w:szCs w:val="32"/>
        </w:rPr>
        <w:t xml:space="preserve">  房地产交易价格及经营性服务收费，根据不同情况分别实行政府定价和市场调节价。</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土地基准地价、向居民出售的新建普通商品住宅价格、</w:t>
      </w:r>
      <w:r>
        <w:rPr>
          <w:rFonts w:ascii="仿宋" w:hAnsi="仿宋" w:cs="仿宋" w:hint="eastAsia" w:eastAsia="仿宋"/>
          <w:color w:val="000000"/>
          <w:sz w:val="32"/>
          <w:szCs w:val="32"/>
        </w:rPr>
        <w:t>征收</w:t>
      </w:r>
      <w:r>
        <w:rPr>
          <w:rFonts w:ascii="仿宋" w:hAnsi="仿宋" w:cs="仿宋" w:hint="eastAsia" w:eastAsia="仿宋"/>
          <w:color w:val="000000"/>
          <w:sz w:val="32"/>
          <w:szCs w:val="32"/>
        </w:rPr>
        <w:t>补偿房屋价格实行政府定价。</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其他各类房屋的买卖、租赁、抵押、典当价格实行市场调节价。</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政府有权对实行市场调节价的房地产交易价格和经营服务性收费进行间接调控和引导，必要时，可实行最高或最低限价。</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第九条</w:t>
      </w:r>
      <w:r>
        <w:rPr>
          <w:rFonts w:ascii="仿宋" w:hAnsi="仿宋" w:cs="仿宋" w:hint="eastAsia" w:eastAsia="仿宋"/>
          <w:color w:val="000000"/>
          <w:sz w:val="32"/>
          <w:szCs w:val="32"/>
        </w:rPr>
        <w:t xml:space="preserve">  禁止有下列情形之一的房地产进行交易：</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（一）未依法登记领取权属证书的；</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（二）权属有争议或者权属证书与标的物不符的；</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（三）共有房地产未经其他共有人书面同意的；</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（四）依法应收回土地使用权的；</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（五）司法机关和行政机关按照国家法律或有关政策规定限制房地产权利的；</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（六）有关房地产债务在当事人之间未达成协议的；</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（七）房产管理部门调拨给单位或者个人使用的；</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（八）代管房产无法定所有人签署委托书的；</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（九）其他依法禁止权属转移的。</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第十条</w:t>
      </w:r>
      <w:r>
        <w:rPr>
          <w:rFonts w:ascii="仿宋" w:hAnsi="仿宋" w:cs="仿宋" w:hint="eastAsia" w:eastAsia="仿宋"/>
          <w:color w:val="000000"/>
          <w:sz w:val="32"/>
          <w:szCs w:val="32"/>
        </w:rPr>
        <w:t xml:space="preserve">  实行市场调节价的房地产交易，必须由房地产价格评估机构对房屋及该房屋所占用范围内的土地进行评估。交易双方可依据评估的价格协商议定成交的价格。</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房地产价格评估，应当遵循公正、公平、公开的原则，按照国家规定的技术标准和评估程序，以基准地价、标定地价和各类房屋的重置价格为基础，参照当地的市场价格进行。</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政府实行房地产价格评估人员资格认证制度。房地产价格评估人员应取得房地产评估资格，并持证上岗。</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第十一条</w:t>
      </w:r>
      <w:r>
        <w:rPr>
          <w:rFonts w:ascii="仿宋" w:hAnsi="仿宋" w:cs="仿宋" w:hint="eastAsia" w:eastAsia="仿宋"/>
          <w:color w:val="000000"/>
          <w:sz w:val="32"/>
          <w:szCs w:val="32"/>
        </w:rPr>
        <w:t xml:space="preserve">  房地产转让，当事人应当向住房城乡建设、自然资源、市场监管部门如实申报成交价格，不得虚假申报。</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第十二条 </w:t>
      </w:r>
      <w:r>
        <w:rPr>
          <w:rFonts w:ascii="仿宋" w:hAnsi="仿宋" w:cs="仿宋" w:hint="eastAsia" w:eastAsia="仿宋"/>
          <w:color w:val="000000"/>
          <w:sz w:val="32"/>
          <w:szCs w:val="32"/>
        </w:rPr>
        <w:t xml:space="preserve"> 转让、抵押国有房产，必须经县以上国有资产管理部门审查，并按照审批权限办理批准手续。</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第十三条</w:t>
      </w:r>
      <w:r>
        <w:rPr>
          <w:rFonts w:ascii="仿宋" w:hAnsi="仿宋" w:cs="仿宋" w:hint="eastAsia" w:eastAsia="仿宋"/>
          <w:color w:val="000000"/>
          <w:sz w:val="32"/>
          <w:szCs w:val="32"/>
        </w:rPr>
        <w:t xml:space="preserve">  建立房地产交易市场，除应当依法到市场监督管理部门登记外，还应当报经市、县人民政府批准。</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第十四条</w:t>
      </w:r>
      <w:r>
        <w:rPr>
          <w:rFonts w:ascii="仿宋" w:hAnsi="仿宋" w:cs="仿宋" w:hint="eastAsia" w:eastAsia="仿宋"/>
          <w:color w:val="000000"/>
          <w:sz w:val="32"/>
          <w:szCs w:val="32"/>
        </w:rPr>
        <w:t xml:space="preserve">  房地产咨询、房地产价格评估、房地产经纪等中介服务机构应当具备下列条件：</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（一）有自己的名称和组织机构；</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（二）有固定的服务场所；</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（三）有与开展业务相适应的财产和经费；</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（四）有与开展业务相应的专业人员；</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（五）法律、行政法规规定的其他条件。</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设立房地产中介服务机构，应当向市场监督管理部门申请设立登记，领取营业执照后，方可开业。</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第十五条</w:t>
      </w:r>
      <w:r>
        <w:rPr>
          <w:rFonts w:ascii="仿宋" w:hAnsi="仿宋" w:cs="仿宋" w:hint="eastAsia" w:eastAsia="仿宋"/>
          <w:color w:val="000000"/>
          <w:sz w:val="32"/>
          <w:szCs w:val="32"/>
        </w:rPr>
        <w:t xml:space="preserve">  房地产转让或者变更时，应当向不动产所在地的登记机构申请变更登记，由不动产登记机构颁发不动产权属证书。</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第十六条</w:t>
      </w:r>
      <w:r>
        <w:rPr>
          <w:rFonts w:ascii="仿宋" w:hAnsi="仿宋" w:cs="仿宋" w:hint="eastAsia" w:eastAsia="仿宋"/>
          <w:color w:val="000000"/>
          <w:sz w:val="32"/>
          <w:szCs w:val="32"/>
        </w:rPr>
        <w:t xml:space="preserve">  房地产抵押和房屋典当、交换时，应当向县以上不动产登记机构办理登记手续。因处分抵押房地产和典当、交换房屋而取得土地使用权和房屋所有权的，应当办理过户登记。</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第十七条</w:t>
      </w:r>
      <w:r>
        <w:rPr>
          <w:rFonts w:ascii="仿宋" w:hAnsi="仿宋" w:cs="仿宋" w:hint="eastAsia" w:eastAsia="仿宋"/>
          <w:color w:val="000000"/>
          <w:sz w:val="32"/>
          <w:szCs w:val="32"/>
        </w:rPr>
        <w:t xml:space="preserve">  发生房地产交易纠纷，当事人可以通过协商或者当地房地产交易管理机构调解解决；可以向仲裁机构申请仲裁或者向房地产所在地人民法院起诉。</w:t>
      </w:r>
    </w:p>
    <w:p>
      <w:pPr>
        <w:pStyle w:val="Heading1"/>
        <w:pageBreakBefore w:val="false"/>
        <w:widowControl w:val="false"/>
        <w:kinsoku w:val="true"/>
        <w:overflowPunct w:val="true"/>
        <w:autoSpaceDE w:val="true"/>
        <w:bidi w:val="0"/>
        <w:snapToGrid w:val="true"/>
        <w:spacing w:lineRule="exact" w:line="572"/>
        <w:ind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2" w:name="__RefHeading___Toc21442"/>
    </w:p>
    <w:p>
      <w:pPr>
        <w:pStyle w:val="Heading1"/>
        <w:pageBreakBefore w:val="false"/>
        <w:widowControl w:val="false"/>
        <w:kinsoku w:val="true"/>
        <w:overflowPunct w:val="true"/>
        <w:autoSpaceDE w:val="true"/>
        <w:bidi w:val="0"/>
        <w:snapToGrid w:val="true"/>
        <w:spacing w:lineRule="exact" w:line="572"/>
        <w:ind w:endChars="0" w:end="0"/>
        <w:textAlignment w:val="auto"/>
        <w:rPr>
          <w:rFonts w:hint="eastAsia"/>
          <w:color w:val="000000"/>
        </w:rPr>
      </w:pPr>
      <w:r>
        <w:rPr>
          <w:rFonts w:hint="eastAsia"/>
          <w:color w:val="000000"/>
        </w:rPr>
        <w:t>第三章  房地产转让</w:t>
      </w:r>
      <w:bookmarkEnd w:id="2"/>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第十八条</w:t>
      </w:r>
      <w:r>
        <w:rPr>
          <w:rFonts w:ascii="仿宋" w:hAnsi="仿宋" w:cs="仿宋" w:hint="eastAsia" w:eastAsia="仿宋"/>
          <w:color w:val="000000"/>
          <w:sz w:val="32"/>
          <w:szCs w:val="32"/>
        </w:rPr>
        <w:t xml:space="preserve">  本条例所称房地产转让是指房地产权利人通过买卖、赠与或者其他合法方式将其房地产转移给他人的行为。</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房地产转让时，土地使用权出让合同载明的权利、义务随之转移。</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第十九条</w:t>
      </w:r>
      <w:r>
        <w:rPr>
          <w:rFonts w:ascii="仿宋" w:hAnsi="仿宋" w:cs="仿宋" w:hint="eastAsia" w:eastAsia="仿宋"/>
          <w:color w:val="000000"/>
          <w:sz w:val="32"/>
          <w:szCs w:val="32"/>
        </w:rPr>
        <w:t xml:space="preserve">  以出让方式取得土地使用权的，转让房地产应当符合下列条件：</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（一）按照出让合同约定已经交付全部土地使用权出让金，并取得土地使用权证书的；</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（二）按照出让合同约定进行投资开发属于房屋建设工程的，完成开发投资总额的</w:t>
      </w:r>
      <w:r>
        <w:rPr>
          <w:rFonts w:eastAsia="仿宋" w:cs="仿宋" w:hint="eastAsia" w:ascii="仿宋" w:hAnsi="仿宋"/>
          <w:color w:val="000000"/>
          <w:sz w:val="32"/>
          <w:szCs w:val="32"/>
        </w:rPr>
        <w:t>25</w:t>
      </w:r>
      <w:r>
        <w:rPr>
          <w:rFonts w:ascii="仿宋" w:hAnsi="仿宋" w:cs="仿宋" w:hint="eastAsia" w:eastAsia="仿宋"/>
          <w:color w:val="000000"/>
          <w:sz w:val="32"/>
          <w:szCs w:val="32"/>
        </w:rPr>
        <w:t>％以上；属于成片开发土地的，形成工业用地或者其他建设用地条件的。</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第二十条</w:t>
      </w:r>
      <w:r>
        <w:rPr>
          <w:rFonts w:ascii="仿宋" w:hAnsi="仿宋" w:cs="仿宋" w:hint="eastAsia" w:eastAsia="仿宋"/>
          <w:color w:val="000000"/>
          <w:sz w:val="32"/>
          <w:szCs w:val="32"/>
        </w:rPr>
        <w:t xml:space="preserve">  以划拨方式取得土地使用权的，转让房地产时，应当按照国务院规定，报有批准权的人民政府审批。有批准权的人民政府准予转让的，应当由受让方办理土地使用权出让手续，并依照国家有关规定缴纳土地使用权出让金。</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以划拨方式取得土地使用权的，转让房地产报批时，有批准权的人民政府按照国务院规定决定可不办理土地使用权出让手续的，转让方应当按照国务院规定将转让房地产所获收益中的土地收益上缴国家或者作其他处理。</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以出让方式取得土地使用权的，转让房地产后，受让人改变原土地使用权出让合同约定的土地用途的，必须取得原出让方和市、县人民政府城市规划行政主管部门的同意，签订土地使用权出让合同变更协议或者重新签订土地使用权出让合同，相应调整土地使用权出让金。</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第二十一条</w:t>
      </w:r>
      <w:r>
        <w:rPr>
          <w:rFonts w:ascii="仿宋" w:hAnsi="仿宋" w:cs="仿宋" w:hint="eastAsia" w:eastAsia="仿宋"/>
          <w:color w:val="000000"/>
          <w:sz w:val="32"/>
          <w:szCs w:val="32"/>
        </w:rPr>
        <w:t xml:space="preserve">  企业兼并、合并涉及房地产转让的，按照本条例规定办理转让手续。</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第二十二条</w:t>
      </w:r>
      <w:r>
        <w:rPr>
          <w:rFonts w:ascii="仿宋" w:hAnsi="仿宋" w:cs="仿宋" w:hint="eastAsia" w:eastAsia="仿宋"/>
          <w:color w:val="000000"/>
          <w:sz w:val="32"/>
          <w:szCs w:val="32"/>
        </w:rPr>
        <w:t xml:space="preserve">  预售商品房应当符合下列条件：</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（一）已交付全部土地使用权出让金、取得土地使用权证书；</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（二）持有建设工程规划许可证；</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（三）按照提供预售的商品房计算，投入开发建设资金达到工程建设总投资的</w:t>
      </w:r>
      <w:r>
        <w:rPr>
          <w:rFonts w:eastAsia="仿宋" w:cs="仿宋" w:hint="eastAsia" w:ascii="仿宋" w:hAnsi="仿宋"/>
          <w:color w:val="000000"/>
          <w:sz w:val="32"/>
          <w:szCs w:val="32"/>
        </w:rPr>
        <w:t>25</w:t>
      </w:r>
      <w:r>
        <w:rPr>
          <w:rFonts w:ascii="仿宋" w:hAnsi="仿宋" w:cs="仿宋" w:hint="eastAsia" w:eastAsia="仿宋"/>
          <w:color w:val="000000"/>
          <w:sz w:val="32"/>
          <w:szCs w:val="32"/>
        </w:rPr>
        <w:t>％以上；</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（四）已经确定交付和进住日期；</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（五）向县级以上人民政府房产管理部门办理预售登记。</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符合以上条件的，由房产管理部门发给商品房预售许可证明。</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第二十三条</w:t>
      </w:r>
      <w:r>
        <w:rPr>
          <w:rFonts w:ascii="仿宋" w:hAnsi="仿宋" w:cs="仿宋" w:hint="eastAsia" w:eastAsia="仿宋"/>
          <w:color w:val="000000"/>
          <w:sz w:val="32"/>
          <w:szCs w:val="32"/>
        </w:rPr>
        <w:t xml:space="preserve">  房产管理部门直管，单位自管和人民法院依法拍卖的房屋，由拍卖机构拍卖。</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第二十四条</w:t>
      </w:r>
      <w:r>
        <w:rPr>
          <w:rFonts w:ascii="仿宋" w:hAnsi="仿宋" w:cs="仿宋" w:hint="eastAsia" w:eastAsia="仿宋"/>
          <w:color w:val="000000"/>
          <w:sz w:val="32"/>
          <w:szCs w:val="32"/>
        </w:rPr>
        <w:t xml:space="preserve">  房屋所有人转让与他人共有的房屋，应当提前</w:t>
      </w:r>
      <w:r>
        <w:rPr>
          <w:rFonts w:eastAsia="仿宋" w:cs="仿宋" w:hint="eastAsia" w:ascii="仿宋" w:hAnsi="仿宋"/>
          <w:color w:val="000000"/>
          <w:sz w:val="32"/>
          <w:szCs w:val="32"/>
        </w:rPr>
        <w:t>3</w:t>
      </w:r>
      <w:r>
        <w:rPr>
          <w:rFonts w:ascii="仿宋" w:hAnsi="仿宋" w:cs="仿宋" w:hint="eastAsia" w:eastAsia="仿宋"/>
          <w:color w:val="000000"/>
          <w:sz w:val="32"/>
          <w:szCs w:val="32"/>
        </w:rPr>
        <w:t>个月通知共有人。在同等条件下，共有人有优先购买权。</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第二十五条</w:t>
      </w:r>
      <w:r>
        <w:rPr>
          <w:rFonts w:ascii="仿宋" w:hAnsi="仿宋" w:cs="仿宋" w:hint="eastAsia" w:eastAsia="仿宋"/>
          <w:color w:val="000000"/>
          <w:sz w:val="32"/>
          <w:szCs w:val="32"/>
        </w:rPr>
        <w:t xml:space="preserve">  出租人出卖租赁期限未满的房屋，应当在出卖之前的法定合理期限内通知承租人，承租人享有以同等条件优先购买的权利；但是，房屋按份共有人行使优先购买权或者出租人将房屋出卖给近亲属的除外。</w:t>
      </w:r>
    </w:p>
    <w:p>
      <w:pPr>
        <w:pStyle w:val="Heading1"/>
        <w:pageBreakBefore w:val="false"/>
        <w:widowControl w:val="false"/>
        <w:kinsoku w:val="true"/>
        <w:overflowPunct w:val="true"/>
        <w:autoSpaceDE w:val="true"/>
        <w:bidi w:val="0"/>
        <w:snapToGrid w:val="true"/>
        <w:spacing w:lineRule="exact" w:line="572"/>
        <w:ind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3" w:name="__RefHeading___Toc16688"/>
    </w:p>
    <w:p>
      <w:pPr>
        <w:pStyle w:val="Heading1"/>
        <w:pageBreakBefore w:val="false"/>
        <w:widowControl w:val="false"/>
        <w:kinsoku w:val="true"/>
        <w:overflowPunct w:val="true"/>
        <w:autoSpaceDE w:val="true"/>
        <w:bidi w:val="0"/>
        <w:snapToGrid w:val="true"/>
        <w:spacing w:lineRule="exact" w:line="572"/>
        <w:ind w:endChars="0" w:end="0"/>
        <w:textAlignment w:val="auto"/>
        <w:rPr>
          <w:rFonts w:hint="eastAsia"/>
          <w:color w:val="000000"/>
        </w:rPr>
      </w:pPr>
      <w:r>
        <w:rPr>
          <w:rFonts w:hint="eastAsia"/>
          <w:color w:val="000000"/>
        </w:rPr>
        <w:t>第四章  房屋租赁</w:t>
      </w:r>
      <w:bookmarkEnd w:id="3"/>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第二十六条</w:t>
      </w:r>
      <w:r>
        <w:rPr>
          <w:rFonts w:ascii="仿宋" w:hAnsi="仿宋" w:cs="仿宋" w:hint="eastAsia" w:eastAsia="仿宋"/>
          <w:color w:val="000000"/>
          <w:sz w:val="32"/>
          <w:szCs w:val="32"/>
        </w:rPr>
        <w:t xml:space="preserve">  本条例所称房屋租赁是指房屋所有人以非国家定价租金标准，将其房屋使用权出租给承租人的行为。</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第二十七条</w:t>
      </w:r>
      <w:r>
        <w:rPr>
          <w:rFonts w:ascii="仿宋" w:hAnsi="仿宋" w:cs="仿宋" w:hint="eastAsia" w:eastAsia="仿宋"/>
          <w:color w:val="000000"/>
          <w:sz w:val="32"/>
          <w:szCs w:val="32"/>
        </w:rPr>
        <w:t xml:space="preserve">  房屋租赁，出租人和承租人应当持租赁合同，向房产管理部门登记备案。房屋租赁期限不得超过</w:t>
      </w:r>
      <w:r>
        <w:rPr>
          <w:rFonts w:eastAsia="仿宋" w:cs="仿宋" w:hint="eastAsia" w:ascii="仿宋" w:hAnsi="仿宋"/>
          <w:color w:val="000000"/>
          <w:sz w:val="32"/>
          <w:szCs w:val="32"/>
        </w:rPr>
        <w:t>10</w:t>
      </w:r>
      <w:r>
        <w:rPr>
          <w:rFonts w:ascii="仿宋" w:hAnsi="仿宋" w:cs="仿宋" w:hint="eastAsia" w:eastAsia="仿宋"/>
          <w:color w:val="000000"/>
          <w:sz w:val="32"/>
          <w:szCs w:val="32"/>
        </w:rPr>
        <w:t>年，逾期需继续租赁的，应当到房产管理部门办理延续租赁登记备案手续。</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第二十八条</w:t>
      </w:r>
      <w:r>
        <w:rPr>
          <w:rFonts w:ascii="仿宋" w:hAnsi="仿宋" w:cs="仿宋" w:hint="eastAsia" w:eastAsia="仿宋"/>
          <w:color w:val="000000"/>
          <w:sz w:val="32"/>
          <w:szCs w:val="32"/>
        </w:rPr>
        <w:t xml:space="preserve">  有下列情形之一的，出租人可以提前解除房屋租赁合同：</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（一）出租人因不可抗力的原因须提前解除合同的；</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（二）承租人违反合同改变房屋用途的；</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（三）承租人未经出租人同意转租房屋的；</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（四）承租人未按照合同规定缴纳租金，且迟延时间超过</w:t>
      </w:r>
      <w:r>
        <w:rPr>
          <w:rFonts w:eastAsia="仿宋" w:cs="仿宋" w:hint="eastAsia" w:ascii="仿宋" w:hAnsi="仿宋"/>
          <w:color w:val="000000"/>
          <w:sz w:val="32"/>
          <w:szCs w:val="32"/>
        </w:rPr>
        <w:t>3</w:t>
      </w:r>
      <w:r>
        <w:rPr>
          <w:rFonts w:ascii="仿宋" w:hAnsi="仿宋" w:cs="仿宋" w:hint="eastAsia" w:eastAsia="仿宋"/>
          <w:color w:val="000000"/>
          <w:sz w:val="32"/>
          <w:szCs w:val="32"/>
        </w:rPr>
        <w:t>个月的；</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（五）承租人损坏房屋或者设备而不维修、不赔偿的；</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（六）承租人其他主观过错造成须提前解除合同的；</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（七）经房产管理部门鉴定为危险房屋不能继续使用的。</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第二十九条 </w:t>
      </w:r>
      <w:r>
        <w:rPr>
          <w:rFonts w:ascii="仿宋" w:hAnsi="仿宋" w:cs="仿宋" w:hint="eastAsia" w:eastAsia="仿宋"/>
          <w:color w:val="000000"/>
          <w:sz w:val="32"/>
          <w:szCs w:val="32"/>
        </w:rPr>
        <w:t xml:space="preserve"> 有下列情形之一的，承租人可以提前解除房屋租赁合同：</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（一）承租人因不可抗力的原因须提前解除合同的；</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（二）出租人未按照合同规定履行其对该房屋的正常维修责任的；</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（三）出租人其他主观过错造成须提前解除合同的；</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（四）经房产管理部门鉴定为危险房屋不能继续使用的。</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第三十条</w:t>
      </w:r>
      <w:r>
        <w:rPr>
          <w:rFonts w:ascii="仿宋" w:hAnsi="仿宋" w:cs="仿宋" w:hint="eastAsia" w:eastAsia="仿宋"/>
          <w:color w:val="000000"/>
          <w:sz w:val="32"/>
          <w:szCs w:val="32"/>
        </w:rPr>
        <w:t xml:space="preserve">  符合本条例第二十八条第（一）项、第二十九条第（一）项规定提前解除房屋租赁合同的，出租人或者承租人免除赔偿责任。</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符合本条例第二十八条第（二）（三）（四）（五）（六）项，第二十九条第（二）（三）项规定，提前解除房屋租赁合同的，承租人或者出租人应当按照造成的实际损失支付对方赔偿金。</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第三十一条</w:t>
      </w:r>
      <w:r>
        <w:rPr>
          <w:rFonts w:ascii="仿宋" w:hAnsi="仿宋" w:cs="仿宋" w:hint="eastAsia" w:eastAsia="仿宋"/>
          <w:color w:val="000000"/>
          <w:sz w:val="32"/>
          <w:szCs w:val="32"/>
        </w:rPr>
        <w:t xml:space="preserve">  房屋租赁合同有效期满，或者提前中止，出租人、承租人应当共同对房屋及设备进行现场检查，双方无异议后，签署书面意见，</w:t>
      </w:r>
      <w:r>
        <w:rPr>
          <w:rFonts w:eastAsia="仿宋" w:cs="仿宋" w:hint="eastAsia" w:ascii="仿宋" w:hAnsi="仿宋"/>
          <w:color w:val="000000"/>
          <w:sz w:val="32"/>
          <w:szCs w:val="32"/>
        </w:rPr>
        <w:t>15</w:t>
      </w:r>
      <w:r>
        <w:rPr>
          <w:rFonts w:ascii="仿宋" w:hAnsi="仿宋" w:cs="仿宋" w:hint="eastAsia" w:eastAsia="仿宋"/>
          <w:color w:val="000000"/>
          <w:sz w:val="32"/>
          <w:szCs w:val="32"/>
        </w:rPr>
        <w:t>日内办理租赁注销手续。</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第三十二条</w:t>
      </w:r>
      <w:r>
        <w:rPr>
          <w:rFonts w:ascii="仿宋" w:hAnsi="仿宋" w:cs="仿宋" w:hint="eastAsia" w:eastAsia="仿宋"/>
          <w:color w:val="000000"/>
          <w:sz w:val="32"/>
          <w:szCs w:val="32"/>
        </w:rPr>
        <w:t xml:space="preserve">  房屋所有人将以划拨方式取得使用权的国有土地上建成的房屋出租的，应当将租金中所含土地收益依照国家和省有关规定上缴国库。</w:t>
      </w:r>
    </w:p>
    <w:p>
      <w:pPr>
        <w:pStyle w:val="Heading1"/>
        <w:pageBreakBefore w:val="false"/>
        <w:widowControl w:val="false"/>
        <w:kinsoku w:val="true"/>
        <w:overflowPunct w:val="true"/>
        <w:autoSpaceDE w:val="true"/>
        <w:bidi w:val="0"/>
        <w:snapToGrid w:val="true"/>
        <w:spacing w:lineRule="exact" w:line="572"/>
        <w:ind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4" w:name="__RefHeading___Toc14147"/>
    </w:p>
    <w:p>
      <w:pPr>
        <w:pStyle w:val="Heading1"/>
        <w:pageBreakBefore w:val="false"/>
        <w:widowControl w:val="false"/>
        <w:kinsoku w:val="true"/>
        <w:overflowPunct w:val="true"/>
        <w:autoSpaceDE w:val="true"/>
        <w:bidi w:val="0"/>
        <w:snapToGrid w:val="true"/>
        <w:spacing w:lineRule="exact" w:line="572"/>
        <w:ind w:endChars="0" w:end="0"/>
        <w:textAlignment w:val="auto"/>
        <w:rPr>
          <w:rFonts w:hint="eastAsia"/>
          <w:color w:val="000000"/>
        </w:rPr>
      </w:pPr>
      <w:r>
        <w:rPr>
          <w:rFonts w:hint="eastAsia"/>
          <w:color w:val="000000"/>
        </w:rPr>
        <w:t>第五章  房地产抵押</w:t>
      </w:r>
      <w:bookmarkEnd w:id="4"/>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第三十三条</w:t>
      </w:r>
      <w:r>
        <w:rPr>
          <w:rFonts w:ascii="仿宋" w:hAnsi="仿宋" w:cs="仿宋" w:hint="eastAsia" w:eastAsia="仿宋"/>
          <w:color w:val="000000"/>
          <w:sz w:val="32"/>
          <w:szCs w:val="32"/>
        </w:rPr>
        <w:t xml:space="preserve">  本条例所称房地产抵押是指房地产抵押人以其合法的房地产以不转移占有的方式向抵押权人提供债务履行担保的行为。</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第三十四条</w:t>
      </w:r>
      <w:r>
        <w:rPr>
          <w:rFonts w:ascii="仿宋" w:hAnsi="仿宋" w:cs="仿宋" w:hint="eastAsia" w:eastAsia="仿宋"/>
          <w:color w:val="000000"/>
          <w:sz w:val="32"/>
          <w:szCs w:val="32"/>
        </w:rPr>
        <w:t xml:space="preserve">  共有房屋进行抵押时，除出具不动产权属证书或者房屋所有权证、土地使用权证，以及共有权保持证外，须出具房屋共有书面协议。</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第三十五条</w:t>
      </w:r>
      <w:r>
        <w:rPr>
          <w:rFonts w:ascii="仿宋" w:hAnsi="仿宋" w:cs="仿宋" w:hint="eastAsia" w:eastAsia="仿宋"/>
          <w:color w:val="000000"/>
          <w:sz w:val="32"/>
          <w:szCs w:val="32"/>
        </w:rPr>
        <w:t xml:space="preserve">  抵押人用已出租的房屋抵押时，原租赁合同继续有效，但应事先通知承租人。抵押人不能清偿债务，抵押房地产被处分或者拍卖时，租赁期限已满的，承租人在同等条件下，有优先购买权；租赁期限未满的，承租人有权继续按原租赁合同承租。</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第三十六条</w:t>
      </w:r>
      <w:r>
        <w:rPr>
          <w:rFonts w:ascii="仿宋" w:hAnsi="仿宋" w:cs="仿宋" w:hint="eastAsia" w:eastAsia="仿宋"/>
          <w:color w:val="000000"/>
          <w:sz w:val="32"/>
          <w:szCs w:val="32"/>
        </w:rPr>
        <w:t xml:space="preserve">  房地产抵押期间，抵押人以转让抵押物等形式进行处分的，应当按照法律、法规及国家有关规定执行。当事人另有约定的，按照其约定。抵押物转让的，抵押权不受影响。</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抵押人转让抵押物的，应当依法严格履行及时通知和债务清偿等义务。</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第三十七条</w:t>
      </w:r>
      <w:r>
        <w:rPr>
          <w:rFonts w:ascii="仿宋" w:hAnsi="仿宋" w:cs="仿宋" w:hint="eastAsia" w:eastAsia="仿宋"/>
          <w:color w:val="000000"/>
          <w:sz w:val="32"/>
          <w:szCs w:val="32"/>
        </w:rPr>
        <w:t xml:space="preserve">  抵押人为法人的，其分立、合并、更名，应当到房地产交易管理机构办理变更手续；抵押人为自然人的，一方或双方死亡，其继承人或者受遗赠人应当自取得继承或者受遗赠有效证件之日起</w:t>
      </w:r>
      <w:r>
        <w:rPr>
          <w:rFonts w:eastAsia="仿宋" w:cs="仿宋" w:hint="eastAsia" w:ascii="仿宋" w:hAnsi="仿宋"/>
          <w:color w:val="000000"/>
          <w:sz w:val="32"/>
          <w:szCs w:val="32"/>
        </w:rPr>
        <w:t>15</w:t>
      </w:r>
      <w:r>
        <w:rPr>
          <w:rFonts w:ascii="仿宋" w:hAnsi="仿宋" w:cs="仿宋" w:hint="eastAsia" w:eastAsia="仿宋"/>
          <w:color w:val="000000"/>
          <w:sz w:val="32"/>
          <w:szCs w:val="32"/>
        </w:rPr>
        <w:t>日内，到房地产交易机构办理抵押变更手续。</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第三十八条</w:t>
      </w:r>
      <w:r>
        <w:rPr>
          <w:rFonts w:ascii="仿宋" w:hAnsi="仿宋" w:cs="仿宋" w:hint="eastAsia" w:eastAsia="仿宋"/>
          <w:color w:val="000000"/>
          <w:sz w:val="32"/>
          <w:szCs w:val="32"/>
        </w:rPr>
        <w:t xml:space="preserve">  设定房地产抵押权的土地使用权是以划拨方式取得的，依法拍卖该房地产后，应当从拍卖所得的价款中缴纳相当于缴纳土地使用权出让金的款额后，抵押权人方可优先受偿。</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第三十九条</w:t>
      </w:r>
      <w:r>
        <w:rPr>
          <w:rFonts w:ascii="仿宋" w:hAnsi="仿宋" w:cs="仿宋" w:hint="eastAsia" w:eastAsia="仿宋"/>
          <w:color w:val="000000"/>
          <w:sz w:val="32"/>
          <w:szCs w:val="32"/>
        </w:rPr>
        <w:t xml:space="preserve">  抵押期满，抵押人能够清偿债务的，双方当事人应当于期满之日起</w:t>
      </w:r>
      <w:r>
        <w:rPr>
          <w:rFonts w:eastAsia="仿宋" w:cs="仿宋" w:hint="eastAsia" w:ascii="仿宋" w:hAnsi="仿宋"/>
          <w:color w:val="000000"/>
          <w:sz w:val="32"/>
          <w:szCs w:val="32"/>
        </w:rPr>
        <w:t>15</w:t>
      </w:r>
      <w:r>
        <w:rPr>
          <w:rFonts w:ascii="仿宋" w:hAnsi="仿宋" w:cs="仿宋" w:hint="eastAsia" w:eastAsia="仿宋"/>
          <w:color w:val="000000"/>
          <w:sz w:val="32"/>
          <w:szCs w:val="32"/>
        </w:rPr>
        <w:t>日内，共同到房地产交易管理机构办理抵押注销手续。</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第四十条</w:t>
      </w:r>
      <w:r>
        <w:rPr>
          <w:rFonts w:ascii="仿宋" w:hAnsi="仿宋" w:cs="仿宋" w:hint="eastAsia" w:eastAsia="仿宋"/>
          <w:color w:val="000000"/>
          <w:sz w:val="32"/>
          <w:szCs w:val="32"/>
        </w:rPr>
        <w:t xml:space="preserve">  同一处房地产设定若干抵押权的，其抵押价格之和不得超过该房地产的总值。清偿次序按照登记先后确定，同时登记的，按照各方债务额比例清偿。</w:t>
      </w:r>
    </w:p>
    <w:p>
      <w:pPr>
        <w:pStyle w:val="Heading1"/>
        <w:pageBreakBefore w:val="false"/>
        <w:widowControl w:val="false"/>
        <w:kinsoku w:val="true"/>
        <w:overflowPunct w:val="true"/>
        <w:autoSpaceDE w:val="true"/>
        <w:bidi w:val="0"/>
        <w:snapToGrid w:val="true"/>
        <w:spacing w:lineRule="exact" w:line="572"/>
        <w:ind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5" w:name="__RefHeading___Toc32618"/>
    </w:p>
    <w:p>
      <w:pPr>
        <w:pStyle w:val="Heading1"/>
        <w:pageBreakBefore w:val="false"/>
        <w:widowControl w:val="false"/>
        <w:kinsoku w:val="true"/>
        <w:overflowPunct w:val="true"/>
        <w:autoSpaceDE w:val="true"/>
        <w:bidi w:val="0"/>
        <w:snapToGrid w:val="true"/>
        <w:spacing w:lineRule="exact" w:line="572"/>
        <w:ind w:endChars="0" w:end="0"/>
        <w:textAlignment w:val="auto"/>
        <w:rPr>
          <w:rFonts w:hint="eastAsia"/>
          <w:color w:val="000000"/>
        </w:rPr>
      </w:pPr>
      <w:r>
        <w:rPr>
          <w:rFonts w:hint="eastAsia"/>
          <w:color w:val="000000"/>
        </w:rPr>
        <w:t>第六章  房屋典当</w:t>
      </w:r>
      <w:bookmarkEnd w:id="5"/>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第四十一条</w:t>
      </w:r>
      <w:r>
        <w:rPr>
          <w:rFonts w:ascii="仿宋" w:hAnsi="仿宋" w:cs="仿宋" w:hint="eastAsia" w:eastAsia="仿宋"/>
          <w:color w:val="000000"/>
          <w:sz w:val="32"/>
          <w:szCs w:val="32"/>
        </w:rPr>
        <w:t xml:space="preserve">  本条例所称房屋典当是指房屋所有人（出典人）将房屋出典给承典人的行为。</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第四十二条</w:t>
      </w:r>
      <w:r>
        <w:rPr>
          <w:rFonts w:ascii="仿宋" w:hAnsi="仿宋" w:cs="仿宋" w:hint="eastAsia" w:eastAsia="仿宋"/>
          <w:color w:val="000000"/>
          <w:sz w:val="32"/>
          <w:szCs w:val="32"/>
        </w:rPr>
        <w:t xml:space="preserve">  典当期限内，承典人享有占有、使用、收益的权利，承典人可以将承典房屋转典或出租；但转典或出租期限超过</w:t>
      </w:r>
      <w:r>
        <w:rPr>
          <w:rFonts w:ascii="仿宋" w:hAnsi="仿宋" w:cs="仿宋" w:hint="eastAsia" w:eastAsia="仿宋"/>
          <w:color w:val="000000"/>
          <w:sz w:val="32"/>
          <w:szCs w:val="32"/>
        </w:rPr>
        <w:t>原典当合同约</w:t>
      </w:r>
      <w:r>
        <w:rPr>
          <w:rFonts w:ascii="仿宋" w:hAnsi="仿宋" w:cs="仿宋" w:hint="eastAsia" w:eastAsia="仿宋"/>
          <w:color w:val="000000"/>
          <w:sz w:val="32"/>
          <w:szCs w:val="32"/>
        </w:rPr>
        <w:t>定期限的，须经出典人同意。</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第四十三条</w:t>
      </w:r>
      <w:r>
        <w:rPr>
          <w:rFonts w:ascii="仿宋" w:hAnsi="仿宋" w:cs="仿宋" w:hint="eastAsia" w:eastAsia="仿宋"/>
          <w:color w:val="000000"/>
          <w:sz w:val="32"/>
          <w:szCs w:val="32"/>
        </w:rPr>
        <w:t xml:space="preserve">  典当期内由承典人按照合同负责该房屋的维修。对典期内因房屋损坏而造成的人身财产损失，除不可抗力的原因外，由承典人负责。</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第四十四条</w:t>
      </w:r>
      <w:r>
        <w:rPr>
          <w:rFonts w:ascii="仿宋" w:hAnsi="仿宋" w:cs="仿宋" w:hint="eastAsia" w:eastAsia="仿宋"/>
          <w:color w:val="000000"/>
          <w:sz w:val="32"/>
          <w:szCs w:val="32"/>
        </w:rPr>
        <w:t xml:space="preserve">  典当期届满，出典人退回典价款，承典人腾退承典房屋，典当双方当事人应当在期满之日起</w:t>
      </w:r>
      <w:r>
        <w:rPr>
          <w:rFonts w:eastAsia="仿宋" w:cs="仿宋" w:hint="eastAsia" w:ascii="仿宋" w:hAnsi="仿宋"/>
          <w:color w:val="000000"/>
          <w:sz w:val="32"/>
          <w:szCs w:val="32"/>
        </w:rPr>
        <w:t>15</w:t>
      </w:r>
      <w:r>
        <w:rPr>
          <w:rFonts w:ascii="仿宋" w:hAnsi="仿宋" w:cs="仿宋" w:hint="eastAsia" w:eastAsia="仿宋"/>
          <w:color w:val="000000"/>
          <w:sz w:val="32"/>
          <w:szCs w:val="32"/>
        </w:rPr>
        <w:t>日内共同到房地产交易管理机构办理典当注销手续。承典人、出典人经协商也可以续签典当合同，并在双方签订合同之日起</w:t>
      </w:r>
      <w:r>
        <w:rPr>
          <w:rFonts w:eastAsia="仿宋" w:cs="仿宋" w:hint="eastAsia" w:ascii="仿宋" w:hAnsi="仿宋"/>
          <w:color w:val="000000"/>
          <w:sz w:val="32"/>
          <w:szCs w:val="32"/>
        </w:rPr>
        <w:t>15</w:t>
      </w:r>
      <w:r>
        <w:rPr>
          <w:rFonts w:ascii="仿宋" w:hAnsi="仿宋" w:cs="仿宋" w:hint="eastAsia" w:eastAsia="仿宋"/>
          <w:color w:val="000000"/>
          <w:sz w:val="32"/>
          <w:szCs w:val="32"/>
        </w:rPr>
        <w:t>日内，到房地产交易管理机构登记备案。</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第四十五条</w:t>
      </w:r>
      <w:r>
        <w:rPr>
          <w:rFonts w:ascii="仿宋" w:hAnsi="仿宋" w:cs="仿宋" w:hint="eastAsia" w:eastAsia="仿宋"/>
          <w:color w:val="000000"/>
          <w:sz w:val="32"/>
          <w:szCs w:val="32"/>
        </w:rPr>
        <w:t xml:space="preserve">  典期届满逾期</w:t>
      </w:r>
      <w:r>
        <w:rPr>
          <w:rFonts w:eastAsia="仿宋" w:cs="仿宋" w:hint="eastAsia" w:ascii="仿宋" w:hAnsi="仿宋"/>
          <w:color w:val="000000"/>
          <w:sz w:val="32"/>
          <w:szCs w:val="32"/>
        </w:rPr>
        <w:t>10</w:t>
      </w:r>
      <w:r>
        <w:rPr>
          <w:rFonts w:ascii="仿宋" w:hAnsi="仿宋" w:cs="仿宋" w:hint="eastAsia" w:eastAsia="仿宋"/>
          <w:color w:val="000000"/>
          <w:sz w:val="32"/>
          <w:szCs w:val="32"/>
        </w:rPr>
        <w:t>年或</w:t>
      </w:r>
      <w:r>
        <w:rPr>
          <w:rFonts w:ascii="仿宋" w:hAnsi="仿宋" w:cs="仿宋" w:hint="eastAsia" w:eastAsia="仿宋"/>
          <w:color w:val="000000"/>
          <w:sz w:val="32"/>
          <w:szCs w:val="32"/>
        </w:rPr>
        <w:t>典当合同</w:t>
      </w:r>
      <w:r>
        <w:rPr>
          <w:rFonts w:ascii="仿宋" w:hAnsi="仿宋" w:cs="仿宋" w:hint="eastAsia" w:eastAsia="仿宋"/>
          <w:color w:val="000000"/>
          <w:sz w:val="32"/>
          <w:szCs w:val="32"/>
        </w:rPr>
        <w:t>未载明期限经过</w:t>
      </w:r>
      <w:r>
        <w:rPr>
          <w:rFonts w:eastAsia="仿宋" w:cs="仿宋" w:hint="eastAsia" w:ascii="仿宋" w:hAnsi="仿宋"/>
          <w:color w:val="000000"/>
          <w:sz w:val="32"/>
          <w:szCs w:val="32"/>
        </w:rPr>
        <w:t>30</w:t>
      </w:r>
      <w:r>
        <w:rPr>
          <w:rFonts w:ascii="仿宋" w:hAnsi="仿宋" w:cs="仿宋" w:hint="eastAsia" w:eastAsia="仿宋"/>
          <w:color w:val="000000"/>
          <w:sz w:val="32"/>
          <w:szCs w:val="32"/>
        </w:rPr>
        <w:t>年未赎的，视为绝卖。由承典人持</w:t>
      </w:r>
      <w:r>
        <w:rPr>
          <w:rFonts w:ascii="仿宋" w:hAnsi="仿宋" w:cs="仿宋" w:hint="eastAsia" w:eastAsia="仿宋"/>
          <w:color w:val="000000"/>
          <w:sz w:val="32"/>
          <w:szCs w:val="32"/>
        </w:rPr>
        <w:t>原典当合同</w:t>
      </w:r>
      <w:r>
        <w:rPr>
          <w:rFonts w:ascii="仿宋" w:hAnsi="仿宋" w:cs="仿宋" w:hint="eastAsia" w:eastAsia="仿宋"/>
          <w:color w:val="000000"/>
          <w:sz w:val="32"/>
          <w:szCs w:val="32"/>
        </w:rPr>
        <w:t>和法院判决书，向房屋所在地房产管理部门申请办理产权变更登记手续。</w:t>
      </w:r>
    </w:p>
    <w:p>
      <w:pPr>
        <w:pStyle w:val="Heading1"/>
        <w:pageBreakBefore w:val="false"/>
        <w:widowControl w:val="false"/>
        <w:kinsoku w:val="true"/>
        <w:overflowPunct w:val="true"/>
        <w:autoSpaceDE w:val="true"/>
        <w:bidi w:val="0"/>
        <w:snapToGrid w:val="true"/>
        <w:spacing w:lineRule="exact" w:line="572"/>
        <w:ind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6" w:name="__RefHeading___Toc14211"/>
    </w:p>
    <w:p>
      <w:pPr>
        <w:pStyle w:val="Heading1"/>
        <w:pageBreakBefore w:val="false"/>
        <w:widowControl w:val="false"/>
        <w:kinsoku w:val="true"/>
        <w:overflowPunct w:val="true"/>
        <w:autoSpaceDE w:val="true"/>
        <w:bidi w:val="0"/>
        <w:snapToGrid w:val="true"/>
        <w:spacing w:lineRule="exact" w:line="572"/>
        <w:ind w:endChars="0" w:end="0"/>
        <w:textAlignment w:val="auto"/>
        <w:rPr>
          <w:rFonts w:hint="eastAsia"/>
          <w:color w:val="000000"/>
        </w:rPr>
      </w:pPr>
      <w:r>
        <w:rPr>
          <w:rFonts w:hint="eastAsia"/>
          <w:color w:val="000000"/>
        </w:rPr>
        <w:t>第七章  房屋交换</w:t>
      </w:r>
      <w:bookmarkEnd w:id="6"/>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第四十六条 </w:t>
      </w:r>
      <w:r>
        <w:rPr>
          <w:rFonts w:ascii="仿宋" w:hAnsi="仿宋" w:cs="仿宋" w:hint="eastAsia" w:eastAsia="仿宋"/>
          <w:color w:val="000000"/>
          <w:sz w:val="32"/>
          <w:szCs w:val="32"/>
        </w:rPr>
        <w:t xml:space="preserve"> 本条例所称房屋交换是指房屋所有人或者使用人交换房屋所有权或者使用权的行为。</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第四十七条</w:t>
      </w:r>
      <w:r>
        <w:rPr>
          <w:rFonts w:ascii="仿宋" w:hAnsi="仿宋" w:cs="仿宋" w:hint="eastAsia" w:eastAsia="仿宋"/>
          <w:color w:val="000000"/>
          <w:sz w:val="32"/>
          <w:szCs w:val="32"/>
        </w:rPr>
        <w:t xml:space="preserve">  房屋产权交换，其不等价部分按照本条例第三章的规定办理房地产转让手续。</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第四十八条</w:t>
      </w:r>
      <w:r>
        <w:rPr>
          <w:rFonts w:ascii="仿宋" w:hAnsi="仿宋" w:cs="仿宋" w:hint="eastAsia" w:eastAsia="仿宋"/>
          <w:color w:val="000000"/>
          <w:sz w:val="32"/>
          <w:szCs w:val="32"/>
        </w:rPr>
        <w:t xml:space="preserve">  房屋使用权交换，因房屋结构、设施、面积、用途、区位等相关因素，房屋使用价值有差异的，由有关部门测定差价，并由受益方按比例向市人民政府规定的部门缴纳差价款。具体办法由市人民政府确定。</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第四十九条</w:t>
      </w:r>
      <w:r>
        <w:rPr>
          <w:rFonts w:ascii="仿宋" w:hAnsi="仿宋" w:cs="仿宋" w:hint="eastAsia" w:eastAsia="仿宋"/>
          <w:color w:val="000000"/>
          <w:sz w:val="32"/>
          <w:szCs w:val="32"/>
        </w:rPr>
        <w:t xml:space="preserve">  房屋使用权交换，应当征得房屋所有人的同意。房屋所有人对使用人正当的交换行为应当支持。</w:t>
      </w:r>
    </w:p>
    <w:p>
      <w:pPr>
        <w:pStyle w:val="Heading1"/>
        <w:pageBreakBefore w:val="false"/>
        <w:widowControl w:val="false"/>
        <w:kinsoku w:val="true"/>
        <w:overflowPunct w:val="true"/>
        <w:autoSpaceDE w:val="true"/>
        <w:bidi w:val="0"/>
        <w:snapToGrid w:val="true"/>
        <w:spacing w:lineRule="exact" w:line="572"/>
        <w:ind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7" w:name="__RefHeading___Toc28282"/>
    </w:p>
    <w:p>
      <w:pPr>
        <w:pStyle w:val="Heading1"/>
        <w:pageBreakBefore w:val="false"/>
        <w:widowControl w:val="false"/>
        <w:kinsoku w:val="true"/>
        <w:overflowPunct w:val="true"/>
        <w:autoSpaceDE w:val="true"/>
        <w:bidi w:val="0"/>
        <w:snapToGrid w:val="true"/>
        <w:spacing w:lineRule="exact" w:line="572"/>
        <w:ind w:endChars="0" w:end="0"/>
        <w:textAlignment w:val="auto"/>
        <w:rPr>
          <w:rFonts w:hint="eastAsia"/>
          <w:color w:val="000000"/>
        </w:rPr>
      </w:pPr>
      <w:r>
        <w:rPr>
          <w:rFonts w:hint="eastAsia"/>
          <w:color w:val="000000"/>
        </w:rPr>
        <w:t>第八章  税费</w:t>
      </w:r>
      <w:bookmarkEnd w:id="7"/>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第五十条</w:t>
      </w:r>
      <w:r>
        <w:rPr>
          <w:rFonts w:ascii="仿宋" w:hAnsi="仿宋" w:cs="仿宋" w:hint="eastAsia" w:eastAsia="仿宋"/>
          <w:color w:val="000000"/>
          <w:sz w:val="32"/>
          <w:szCs w:val="32"/>
        </w:rPr>
        <w:t xml:space="preserve">  从事房地产交易，交易当事人必须依法纳税。</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第五十一条</w:t>
      </w:r>
      <w:r>
        <w:rPr>
          <w:rFonts w:ascii="仿宋" w:hAnsi="仿宋" w:cs="仿宋" w:hint="eastAsia" w:eastAsia="仿宋"/>
          <w:color w:val="000000"/>
          <w:sz w:val="32"/>
          <w:szCs w:val="32"/>
        </w:rPr>
        <w:t xml:space="preserve">  房地产交易成立后，交易当事人应当缴纳交易手续费。交易手续费的收取标准由省物价部门会同省房产管理部门确定；国家另有规定的，从其规定。</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房地产交易手续费，除房地产交易管理机构外，其他任何单位和个人不得收取或者变相收取。</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第五十二条</w:t>
      </w:r>
      <w:r>
        <w:rPr>
          <w:rFonts w:ascii="仿宋" w:hAnsi="仿宋" w:cs="仿宋" w:hint="eastAsia" w:eastAsia="仿宋"/>
          <w:color w:val="000000"/>
          <w:sz w:val="32"/>
          <w:szCs w:val="32"/>
        </w:rPr>
        <w:t xml:space="preserve">  交易手续费的使用，按照省财政部门的有关规定执行。</w:t>
      </w:r>
    </w:p>
    <w:p>
      <w:pPr>
        <w:pStyle w:val="Heading1"/>
        <w:pageBreakBefore w:val="false"/>
        <w:widowControl w:val="false"/>
        <w:kinsoku w:val="true"/>
        <w:overflowPunct w:val="true"/>
        <w:autoSpaceDE w:val="true"/>
        <w:bidi w:val="0"/>
        <w:snapToGrid w:val="true"/>
        <w:spacing w:lineRule="exact" w:line="572"/>
        <w:ind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8" w:name="__RefHeading___Toc14593"/>
    </w:p>
    <w:p>
      <w:pPr>
        <w:pStyle w:val="Heading1"/>
        <w:pageBreakBefore w:val="false"/>
        <w:widowControl w:val="false"/>
        <w:kinsoku w:val="true"/>
        <w:overflowPunct w:val="true"/>
        <w:autoSpaceDE w:val="true"/>
        <w:bidi w:val="0"/>
        <w:snapToGrid w:val="true"/>
        <w:spacing w:lineRule="exact" w:line="572"/>
        <w:ind w:endChars="0" w:end="0"/>
        <w:textAlignment w:val="auto"/>
        <w:rPr>
          <w:rFonts w:hint="eastAsia"/>
          <w:color w:val="000000"/>
        </w:rPr>
      </w:pPr>
      <w:r>
        <w:rPr>
          <w:rFonts w:hint="eastAsia"/>
          <w:color w:val="000000"/>
        </w:rPr>
        <w:t>第九章  罚则</w:t>
      </w:r>
      <w:bookmarkEnd w:id="8"/>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第五十三条</w:t>
      </w:r>
      <w:r>
        <w:rPr>
          <w:rFonts w:ascii="仿宋" w:hAnsi="仿宋" w:cs="仿宋" w:hint="eastAsia" w:eastAsia="仿宋"/>
          <w:color w:val="000000"/>
          <w:sz w:val="32"/>
          <w:szCs w:val="32"/>
        </w:rPr>
        <w:t xml:space="preserve">  对妨碍阻挠房地产管理人员执行公务、扰乱房地产交易秩序的，由公安机关根据《中华人民共和国治安管理处罚法》处罚；构成犯罪的，由司法机关依法追究刑事责任。</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第五十四条</w:t>
      </w:r>
      <w:r>
        <w:rPr>
          <w:rFonts w:ascii="仿宋" w:hAnsi="仿宋" w:cs="仿宋" w:hint="eastAsia" w:eastAsia="仿宋"/>
          <w:color w:val="000000"/>
          <w:sz w:val="32"/>
          <w:szCs w:val="32"/>
        </w:rPr>
        <w:t xml:space="preserve">  当事人对行政处罚决定不服的，可以依法申请复议或者起诉。当事人逾期不申请复议，也不向人民法院起诉，又不履行处罚决定的，由作出处罚决定的机关申请人民法院强制执行。</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第五十五条</w:t>
      </w:r>
      <w:r>
        <w:rPr>
          <w:rFonts w:ascii="仿宋" w:hAnsi="仿宋" w:cs="仿宋" w:hint="eastAsia" w:eastAsia="仿宋"/>
          <w:color w:val="000000"/>
          <w:sz w:val="32"/>
          <w:szCs w:val="32"/>
        </w:rPr>
        <w:t xml:space="preserve">  房地产交易管理机构、房地产中介服务机构的工作人员滥用职权，玩忽职守，徇私舞弊的，由其所在单位或者上级主管部门给予行政处分；构成犯罪的，由司法机关依法追究刑事责任。</w:t>
      </w:r>
    </w:p>
    <w:p>
      <w:pPr>
        <w:pStyle w:val="Heading1"/>
        <w:pageBreakBefore w:val="false"/>
        <w:widowControl w:val="false"/>
        <w:kinsoku w:val="true"/>
        <w:overflowPunct w:val="true"/>
        <w:autoSpaceDE w:val="true"/>
        <w:bidi w:val="0"/>
        <w:snapToGrid w:val="true"/>
        <w:spacing w:lineRule="exact" w:line="572"/>
        <w:ind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9" w:name="__RefHeading___Toc9114"/>
    </w:p>
    <w:p>
      <w:pPr>
        <w:pStyle w:val="Heading1"/>
        <w:pageBreakBefore w:val="false"/>
        <w:widowControl w:val="false"/>
        <w:kinsoku w:val="true"/>
        <w:overflowPunct w:val="true"/>
        <w:autoSpaceDE w:val="true"/>
        <w:bidi w:val="0"/>
        <w:snapToGrid w:val="true"/>
        <w:spacing w:lineRule="exact" w:line="572"/>
        <w:ind w:endChars="0" w:end="0"/>
        <w:textAlignment w:val="auto"/>
        <w:rPr>
          <w:rFonts w:hint="eastAsia"/>
          <w:color w:val="000000"/>
        </w:rPr>
      </w:pPr>
      <w:r>
        <w:rPr>
          <w:rFonts w:hint="eastAsia"/>
          <w:color w:val="000000"/>
        </w:rPr>
        <w:t>第十章  附则</w:t>
      </w:r>
      <w:bookmarkEnd w:id="9"/>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第五十六条</w:t>
      </w:r>
      <w:r>
        <w:rPr>
          <w:rFonts w:ascii="仿宋" w:hAnsi="仿宋" w:cs="仿宋" w:hint="eastAsia" w:eastAsia="仿宋"/>
          <w:color w:val="000000"/>
          <w:sz w:val="32"/>
          <w:szCs w:val="32"/>
        </w:rPr>
        <w:t xml:space="preserve">  本条例应用中的具体问题由省人民政府负责解释。</w:t>
      </w:r>
    </w:p>
    <w:p>
      <w:pPr>
        <w:pStyle w:val="Normal"/>
        <w:pageBreakBefore w:val="false"/>
        <w:widowControl w:val="false"/>
        <w:kinsoku w:val="true"/>
        <w:overflowPunct w:val="true"/>
        <w:autoSpaceDE w:val="true"/>
        <w:bidi w:val="0"/>
        <w:snapToGrid w:val="true"/>
        <w:spacing w:lineRule="exact" w:line="572"/>
        <w:ind w:firstLineChars="200" w:startChars="0" w:start="0" w:endChars="0" w:end="0"/>
        <w:textAlignment w:val="auto"/>
        <w:rPr/>
      </w:pPr>
      <w:r>
        <w:rPr>
          <w:rFonts w:ascii="黑体" w:hAnsi="黑体" w:cs="黑体" w:hint="eastAsia" w:eastAsia="黑体"/>
          <w:color w:val="000000"/>
          <w:sz w:val="32"/>
          <w:szCs w:val="32"/>
        </w:rPr>
        <w:t>第五十七条</w:t>
      </w:r>
      <w:r>
        <w:rPr>
          <w:rFonts w:ascii="仿宋" w:hAnsi="仿宋" w:cs="仿宋" w:hint="eastAsia" w:eastAsia="仿宋"/>
          <w:color w:val="000000"/>
          <w:sz w:val="32"/>
          <w:szCs w:val="32"/>
        </w:rPr>
        <w:t xml:space="preserve">  本条例自公布之日起施行。</w:t>
      </w:r>
    </w:p>
    <w:sectPr>
      <w:footerReference w:type="default" r:id="rId2"/>
      <w:type w:val="nextPage"/>
      <w:pgSz w:w="11906" w:h="16838"/>
      <w:pgMar w:left="1531" w:right="1531" w:gutter="0" w:header="0" w:top="2041" w:footer="1417" w:bottom="2041"/>
      <w:pgNumType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Arial">
    <w:charset w:val="01"/>
    <w:family w:val="swiss"/>
    <w:pitch w:val="default"/>
  </w:font>
  <w:font w:name="Liberation Sans">
    <w:altName w:val="Arial"/>
    <w:charset w:val="01" w:characterSet="utf-8"/>
    <w:family w:val="swiss"/>
    <w:pitch w:val="variable"/>
  </w:font>
  <w:font w:name="仿宋">
    <w:charset w:val="86"/>
    <w:family w:val="auto"/>
    <w:pitch w:val="default"/>
  </w:font>
  <w:font w:name="宋体">
    <w:charset w:val="86"/>
    <w:family w:val="auto"/>
    <w:pitch w:val="default"/>
  </w:font>
  <w:font w:name="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652780" cy="1512570"/>
              <wp:effectExtent l="0" t="0" r="0" b="0"/>
              <wp:wrapNone/>
              <wp:docPr id="1" name="Frame1"/>
              <a:graphic xmlns:a="http://schemas.openxmlformats.org/drawingml/2006/main">
                <a:graphicData uri="http://schemas.microsoft.com/office/word/2010/wordprocessingShape">
                  <wps:wsp>
                    <wps:cNvSpPr txBox="1"/>
                    <wps:spPr>
                      <a:xfrm>
                        <a:off x="0" y="0"/>
                        <a:ext cx="652780" cy="151257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tLeast" w:line="240"/>
                            <w:ind w:firstLineChars="0" w:firstLine="0" w:startChars="200" w:endChars="200"/>
                            <w:jc w:val="both"/>
                            <w:textAlignment w:val="auto"/>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119.1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tLeast" w:line="240"/>
                      <w:ind w:firstLineChars="0" w:firstLine="0" w:startChars="200" w:endChars="200"/>
                      <w:jc w:val="both"/>
                      <w:textAlignment w:val="auto"/>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val="en-US" w:eastAsia="zh-CN" w:bidi="hi-IN"/>
    </w:rPr>
  </w:style>
  <w:style w:type="paragraph" w:styleId="Heading1">
    <w:name w:val="heading 1"/>
    <w:basedOn w:val="Normal"/>
    <w:next w:val="Normal"/>
    <w:qFormat/>
    <w:pPr>
      <w:keepNext w:val="true"/>
      <w:keepLines/>
      <w:numPr>
        <w:ilvl w:val="0"/>
        <w:numId w:val="1"/>
      </w:numPr>
      <w:spacing w:lineRule="exact" w:line="560"/>
      <w:ind w:firstLineChars="0" w:firstLine="0" w:startChars="0" w:start="0" w:endChars="0" w:end="0"/>
      <w:jc w:val="center"/>
      <w:outlineLvl w:val="0"/>
    </w:pPr>
    <w:rPr>
      <w:rFonts w:ascii="Calibri" w:hAnsi="Calibri" w:eastAsia="黑体" w:cs="Calibri"/>
      <w:kern w:val="2"/>
      <w:sz w:val="32"/>
    </w:rPr>
  </w:style>
  <w:style w:type="paragraph" w:styleId="Heading2">
    <w:name w:val="heading 2"/>
    <w:basedOn w:val="Normal"/>
    <w:next w:val="Normal"/>
    <w:qFormat/>
    <w:pPr>
      <w:keepNext w:val="true"/>
      <w:keepLines/>
      <w:numPr>
        <w:ilvl w:val="1"/>
        <w:numId w:val="1"/>
      </w:numPr>
      <w:spacing w:lineRule="auto" w:line="413" w:before="312" w:after="312"/>
      <w:jc w:val="center"/>
      <w:outlineLvl w:val="1"/>
    </w:pPr>
    <w:rPr>
      <w:rFonts w:ascii="Arial" w:hAnsi="Arial" w:eastAsia="宋体" w:cs="Arial"/>
      <w:sz w:val="32"/>
    </w:rPr>
  </w:style>
  <w:style w:type="paragraph" w:styleId="Heading3">
    <w:name w:val="heading 3"/>
    <w:basedOn w:val="Normal"/>
    <w:next w:val="Normal"/>
    <w:qFormat/>
    <w:pPr>
      <w:keepNext w:val="true"/>
      <w:keepLines/>
      <w:numPr>
        <w:ilvl w:val="2"/>
        <w:numId w:val="1"/>
      </w:numPr>
      <w:spacing w:lineRule="exact" w:line="560"/>
      <w:ind w:firstLineChars="200" w:startChars="0" w:start="0" w:endChars="0" w:end="0"/>
      <w:jc w:val="start"/>
      <w:outlineLvl w:val="2"/>
    </w:pPr>
    <w:rPr>
      <w:rFonts w:eastAsia="楷体"/>
      <w:sz w:val="32"/>
    </w:rPr>
  </w:style>
  <w:style w:type="character" w:styleId="Style11">
    <w:name w:val="默认段落字体"/>
    <w:qFormat/>
    <w:rPr/>
  </w:style>
  <w:style w:type="character" w:styleId="1CharChar">
    <w:name w:val="标题 1 Char Char"/>
    <w:qFormat/>
    <w:rPr>
      <w:rFonts w:ascii="Calibri" w:hAnsi="Calibri" w:eastAsia="黑体" w:cs="Calibri"/>
      <w:kern w:val="2"/>
      <w:sz w:val="32"/>
    </w:rPr>
  </w:style>
  <w:style w:type="character" w:styleId="3CharChar">
    <w:name w:val="标题 3 Char Char"/>
    <w:qFormat/>
    <w:rPr>
      <w:rFonts w:eastAsia="楷体"/>
      <w:sz w:val="32"/>
    </w:rPr>
  </w:style>
  <w:style w:type="character" w:styleId="CharChar">
    <w:name w:val="目录 Char Char"/>
    <w:qFormat/>
    <w:rPr>
      <w:rFonts w:ascii="Calibri" w:hAnsi="Calibri" w:eastAsia="仿宋" w:cs="Calibri"/>
      <w:sz w:val="3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2">
    <w:name w:val="toc 2"/>
    <w:basedOn w:val="Normal"/>
    <w:next w:val="Normal"/>
    <w:pPr>
      <w:ind w:firstLineChars="0" w:firstLine="0" w:startChars="200" w:endChars="0" w:end="0"/>
    </w:pPr>
    <w:rPr/>
  </w:style>
  <w:style w:type="paragraph" w:styleId="TOC1">
    <w:name w:val="toc 1"/>
    <w:basedOn w:val="Normal"/>
    <w:next w:val="Normal"/>
    <w:pPr>
      <w:spacing w:lineRule="exact" w:line="560"/>
      <w:ind w:firstLineChars="0" w:firstLine="0" w:startChars="300" w:endChars="300"/>
    </w:pPr>
    <w:rPr>
      <w:rFonts w:eastAsia="楷体"/>
      <w:sz w:val="32"/>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2">
    <w:name w:val="目录"/>
    <w:basedOn w:val="Normal"/>
    <w:qFormat/>
    <w:pPr>
      <w:spacing w:lineRule="exact" w:line="560"/>
    </w:pPr>
    <w:rPr>
      <w:rFonts w:ascii="Calibri" w:hAnsi="Calibri" w:eastAsia="仿宋" w:cs="Calibri"/>
      <w:sz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2017-02-10T12:07:00Z</dcterms:created>
  <dc:creator>Administrator</dc:creator>
  <dc:description/>
  <dc:language>en-US</dc:language>
  <cp:lastModifiedBy/>
  <dcterms:modified xsi:type="dcterms:W3CDTF">2021-01-04T16:25:36Z</dcterms:modified>
  <cp:revision>0</cp:revision>
  <dc:subject/>
  <dc:title>青菜</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