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rPr>
          <w:rFonts w:eastAsia="方正小标宋_GBK" w:hint="eastAsia"/>
          <w:sz w:val="44"/>
          <w:szCs w:val="44"/>
        </w:rPr>
      </w:pPr>
      <w:r>
        <w:rPr>
          <w:rFonts w:eastAsia="方正小标宋_GBK" w:hint="eastAsia"/>
          <w:sz w:val="44"/>
          <w:szCs w:val="44"/>
        </w:rPr>
      </w:r>
    </w:p>
    <w:p>
      <w:pPr>
        <w:pStyle w:val="Normal"/>
        <w:ind w:endChars="0" w:end="0"/>
        <w:rPr>
          <w:rFonts w:eastAsia="方正小标宋_GBK" w:hint="eastAsia"/>
          <w:sz w:val="44"/>
          <w:szCs w:val="44"/>
        </w:rPr>
      </w:pPr>
      <w:r>
        <w:rPr>
          <w:rFonts w:eastAsia="方正小标宋_GBK" w:hint="eastAsia"/>
          <w:sz w:val="44"/>
          <w:szCs w:val="44"/>
        </w:rPr>
      </w:r>
    </w:p>
    <w:p>
      <w:pPr>
        <w:pStyle w:val="Normal"/>
        <w:ind w:firstLineChars="0" w:firstLine="0" w:endChars="0" w:end="0"/>
        <w:jc w:val="center"/>
        <w:rPr>
          <w:rFonts w:eastAsia="宋体;SimSun" w:hint="eastAsia"/>
          <w:sz w:val="44"/>
          <w:szCs w:val="44"/>
        </w:rPr>
      </w:pPr>
      <w:r>
        <w:rPr>
          <w:rFonts w:hint="eastAsia" w:eastAsia="宋体;SimSun"/>
          <w:sz w:val="44"/>
          <w:szCs w:val="44"/>
        </w:rPr>
        <w:t>苏州市房屋使用安全管理条例</w:t>
      </w:r>
    </w:p>
    <w:p>
      <w:pPr>
        <w:pStyle w:val="Normal"/>
        <w:ind w:endChars="0" w:end="0"/>
        <w:jc w:val="center"/>
        <w:rPr>
          <w:rFonts w:eastAsia="方正小标宋_GBK" w:hint="eastAsia"/>
          <w:sz w:val="44"/>
          <w:szCs w:val="44"/>
        </w:rPr>
      </w:pPr>
      <w:r>
        <w:rPr>
          <w:rFonts w:eastAsia="方正小标宋_GBK" w:hint="eastAsia"/>
          <w:sz w:val="44"/>
          <w:szCs w:val="44"/>
        </w:rPr>
      </w:r>
    </w:p>
    <w:p>
      <w:pPr>
        <w:pStyle w:val="Normal"/>
        <w:ind w:firstLineChars="0" w:firstLine="0" w:startChars="200" w:endChars="200"/>
        <w:rPr>
          <w:rFonts w:eastAsia="楷体_GB2312" w:hint="eastAsia"/>
        </w:rPr>
      </w:pPr>
      <w:r>
        <w:rPr>
          <w:rFonts w:hint="eastAsia" w:eastAsia="楷体_GB2312"/>
        </w:rPr>
        <w:t>（</w:t>
      </w:r>
      <w:r>
        <w:rPr>
          <w:rFonts w:eastAsia="楷体_GB2312" w:hint="eastAsia"/>
        </w:rPr>
        <w:t>2011</w:t>
      </w:r>
      <w:r>
        <w:rPr>
          <w:rFonts w:hint="eastAsia" w:eastAsia="楷体_GB2312"/>
        </w:rPr>
        <w:t>年</w:t>
      </w:r>
      <w:r>
        <w:rPr>
          <w:rFonts w:eastAsia="楷体_GB2312" w:hint="eastAsia"/>
        </w:rPr>
        <w:t>6</w:t>
      </w:r>
      <w:r>
        <w:rPr>
          <w:rFonts w:hint="eastAsia" w:eastAsia="楷体_GB2312"/>
        </w:rPr>
        <w:t>月</w:t>
      </w:r>
      <w:r>
        <w:rPr>
          <w:rFonts w:eastAsia="楷体_GB2312" w:hint="eastAsia"/>
        </w:rPr>
        <w:t>28</w:t>
      </w:r>
      <w:r>
        <w:rPr>
          <w:rFonts w:hint="eastAsia" w:eastAsia="楷体_GB2312"/>
        </w:rPr>
        <w:t xml:space="preserve">日苏州市第十四届人民代表大会常务委员会第二十六次会议制定  </w:t>
      </w:r>
      <w:r>
        <w:rPr>
          <w:rFonts w:eastAsia="楷体_GB2312" w:hint="eastAsia"/>
        </w:rPr>
        <w:t>2011</w:t>
      </w:r>
      <w:r>
        <w:rPr>
          <w:rFonts w:hint="eastAsia" w:eastAsia="楷体_GB2312"/>
        </w:rPr>
        <w:t>年</w:t>
      </w:r>
      <w:r>
        <w:rPr>
          <w:rFonts w:eastAsia="楷体_GB2312" w:hint="eastAsia"/>
        </w:rPr>
        <w:t>7</w:t>
      </w:r>
      <w:r>
        <w:rPr>
          <w:rFonts w:hint="eastAsia" w:eastAsia="楷体_GB2312"/>
        </w:rPr>
        <w:t>月</w:t>
      </w:r>
      <w:r>
        <w:rPr>
          <w:rFonts w:eastAsia="楷体_GB2312" w:hint="eastAsia"/>
        </w:rPr>
        <w:t>16</w:t>
      </w:r>
      <w:r>
        <w:rPr>
          <w:rFonts w:hint="eastAsia" w:eastAsia="楷体_GB2312"/>
        </w:rPr>
        <w:t>日江苏省第十一届人民代表大会常务委员会第二十三次会议批准  根据</w:t>
      </w:r>
      <w:r>
        <w:rPr>
          <w:rFonts w:eastAsia="楷体_GB2312" w:hint="eastAsia"/>
        </w:rPr>
        <w:t>2011</w:t>
      </w:r>
      <w:r>
        <w:rPr>
          <w:rFonts w:hint="eastAsia" w:eastAsia="楷体_GB2312"/>
        </w:rPr>
        <w:t>年</w:t>
      </w:r>
      <w:r>
        <w:rPr>
          <w:rFonts w:eastAsia="楷体_GB2312" w:hint="eastAsia"/>
        </w:rPr>
        <w:t>12</w:t>
      </w:r>
      <w:r>
        <w:rPr>
          <w:rFonts w:hint="eastAsia" w:eastAsia="楷体_GB2312"/>
        </w:rPr>
        <w:t>月</w:t>
      </w:r>
      <w:r>
        <w:rPr>
          <w:rFonts w:eastAsia="楷体_GB2312" w:hint="eastAsia"/>
        </w:rPr>
        <w:t>29</w:t>
      </w:r>
      <w:r>
        <w:rPr>
          <w:rFonts w:hint="eastAsia" w:eastAsia="楷体_GB2312"/>
        </w:rPr>
        <w:t>日苏州市第十四届人民代表大会常务委员会第三十次会议通过，</w:t>
      </w:r>
      <w:r>
        <w:rPr>
          <w:rFonts w:eastAsia="楷体_GB2312" w:hint="eastAsia"/>
        </w:rPr>
        <w:t>2012</w:t>
      </w:r>
      <w:r>
        <w:rPr>
          <w:rFonts w:hint="eastAsia" w:eastAsia="楷体_GB2312"/>
        </w:rPr>
        <w:t>年</w:t>
      </w:r>
      <w:r>
        <w:rPr>
          <w:rFonts w:eastAsia="楷体_GB2312" w:hint="eastAsia"/>
        </w:rPr>
        <w:t>1</w:t>
      </w:r>
      <w:r>
        <w:rPr>
          <w:rFonts w:hint="eastAsia" w:eastAsia="楷体_GB2312"/>
        </w:rPr>
        <w:t>月</w:t>
      </w:r>
      <w:r>
        <w:rPr>
          <w:rFonts w:eastAsia="楷体_GB2312" w:hint="eastAsia"/>
        </w:rPr>
        <w:t>12</w:t>
      </w:r>
      <w:r>
        <w:rPr>
          <w:rFonts w:hint="eastAsia" w:eastAsia="楷体_GB2312"/>
        </w:rPr>
        <w:t xml:space="preserve">日江苏省第十一届人民代表大会常务委员会第二十六次会议批准的《苏州市人民代表大会常务委员会关于修改部分地方性法规的决定》修正  </w:t>
      </w:r>
      <w:r>
        <w:rPr>
          <w:rFonts w:eastAsia="楷体_GB2312" w:hint="eastAsia"/>
        </w:rPr>
        <w:t>2018</w:t>
      </w:r>
      <w:r>
        <w:rPr>
          <w:rFonts w:hint="eastAsia" w:eastAsia="楷体_GB2312"/>
        </w:rPr>
        <w:t>年</w:t>
      </w:r>
      <w:r>
        <w:rPr>
          <w:rFonts w:eastAsia="楷体_GB2312" w:hint="eastAsia"/>
        </w:rPr>
        <w:t>6</w:t>
      </w:r>
      <w:r>
        <w:rPr>
          <w:rFonts w:hint="eastAsia" w:eastAsia="楷体_GB2312"/>
        </w:rPr>
        <w:t>月</w:t>
      </w:r>
      <w:r>
        <w:rPr>
          <w:rFonts w:eastAsia="楷体_GB2312" w:hint="eastAsia"/>
        </w:rPr>
        <w:t>26</w:t>
      </w:r>
      <w:r>
        <w:rPr>
          <w:rFonts w:hint="eastAsia" w:eastAsia="楷体_GB2312"/>
        </w:rPr>
        <w:t>日苏州</w:t>
      </w:r>
      <w:r>
        <w:rPr>
          <w:rFonts w:hint="eastAsia" w:eastAsia="楷体_GB2312"/>
          <w:spacing w:val="-6"/>
        </w:rPr>
        <w:t xml:space="preserve">市第十六届人民代表大会常务委员会第十二次会议修订  </w:t>
      </w:r>
      <w:r>
        <w:rPr>
          <w:rFonts w:eastAsia="楷体_GB2312" w:hint="eastAsia"/>
          <w:spacing w:val="-6"/>
        </w:rPr>
        <w:t>2018</w:t>
      </w:r>
      <w:r>
        <w:rPr>
          <w:rFonts w:hint="eastAsia" w:eastAsia="楷体_GB2312"/>
          <w:spacing w:val="-6"/>
        </w:rPr>
        <w:t>年</w:t>
      </w:r>
      <w:r>
        <w:rPr>
          <w:rFonts w:eastAsia="楷体_GB2312" w:hint="eastAsia"/>
          <w:spacing w:val="-6"/>
        </w:rPr>
        <w:t>7</w:t>
      </w:r>
      <w:r>
        <w:rPr>
          <w:rFonts w:hint="eastAsia" w:eastAsia="楷体_GB2312"/>
          <w:spacing w:val="-6"/>
        </w:rPr>
        <w:t>月</w:t>
      </w:r>
      <w:r>
        <w:rPr>
          <w:rFonts w:eastAsia="楷体_GB2312" w:hint="eastAsia"/>
          <w:spacing w:val="-6"/>
        </w:rPr>
        <w:t>27</w:t>
      </w:r>
      <w:r>
        <w:rPr>
          <w:rFonts w:hint="eastAsia" w:eastAsia="楷体_GB2312"/>
          <w:spacing w:val="-6"/>
        </w:rPr>
        <w:t>日江苏省</w:t>
      </w:r>
      <w:r>
        <w:rPr>
          <w:rFonts w:hint="eastAsia" w:eastAsia="楷体_GB2312"/>
        </w:rPr>
        <w:t>第十三届人民代表大会常务委员会第四次会议批准</w:t>
      </w:r>
      <w:r>
        <w:rPr>
          <w:rFonts w:hint="eastAsia" w:eastAsia="楷体_GB2312"/>
          <w:spacing w:val="-6"/>
        </w:rPr>
        <w:t>）</w:t>
      </w:r>
    </w:p>
    <w:p>
      <w:pPr>
        <w:pStyle w:val="Normal"/>
        <w:ind w:endChars="0" w:end="0"/>
        <w:rPr>
          <w:rFonts w:eastAsia="楷体_GB2312" w:hint="eastAsia"/>
        </w:rPr>
      </w:pPr>
      <w:r>
        <w:rPr>
          <w:rFonts w:eastAsia="楷体_GB2312" w:hint="eastAsia"/>
        </w:rPr>
      </w:r>
    </w:p>
    <w:p>
      <w:pPr>
        <w:pStyle w:val="Normal"/>
        <w:ind w:firstLineChars="0" w:firstLine="0" w:endChars="0" w:end="0"/>
        <w:jc w:val="center"/>
        <w:rPr>
          <w:rFonts w:eastAsia="楷体_GB2312" w:hint="eastAsia"/>
        </w:rPr>
      </w:pPr>
      <w:r>
        <w:rPr>
          <w:rFonts w:hint="eastAsia" w:eastAsia="楷体_GB2312"/>
        </w:rPr>
        <w:t>目  录</w:t>
      </w:r>
    </w:p>
    <w:p>
      <w:pPr>
        <w:pStyle w:val="Normal"/>
        <w:ind w:endChars="0" w:end="0"/>
        <w:jc w:val="center"/>
        <w:rPr>
          <w:rFonts w:eastAsia="楷体_GB2312" w:hint="eastAsia"/>
        </w:rPr>
      </w:pPr>
      <w:r>
        <w:rPr>
          <w:rFonts w:eastAsia="楷体_GB2312" w:hint="eastAsia"/>
        </w:rPr>
      </w:r>
    </w:p>
    <w:p>
      <w:pPr>
        <w:pStyle w:val="Normal"/>
        <w:ind w:endChars="0" w:end="0"/>
        <w:rPr>
          <w:rFonts w:eastAsia="楷体_GB2312" w:hint="eastAsia"/>
        </w:rPr>
      </w:pPr>
      <w:r>
        <w:rPr>
          <w:rFonts w:hint="eastAsia" w:eastAsia="楷体_GB2312"/>
        </w:rPr>
        <w:t>第一章  总则</w:t>
      </w:r>
    </w:p>
    <w:p>
      <w:pPr>
        <w:pStyle w:val="Normal"/>
        <w:ind w:endChars="0" w:end="0"/>
        <w:rPr>
          <w:rFonts w:eastAsia="楷体_GB2312" w:hint="eastAsia"/>
        </w:rPr>
      </w:pPr>
      <w:r>
        <w:rPr>
          <w:rFonts w:hint="eastAsia" w:eastAsia="楷体_GB2312"/>
        </w:rPr>
        <w:t>第二章  房屋使用安全责任</w:t>
      </w:r>
    </w:p>
    <w:p>
      <w:pPr>
        <w:pStyle w:val="Normal"/>
        <w:ind w:endChars="0" w:end="0"/>
        <w:rPr>
          <w:rFonts w:eastAsia="楷体_GB2312" w:hint="eastAsia"/>
        </w:rPr>
      </w:pPr>
      <w:r>
        <w:rPr>
          <w:rFonts w:hint="eastAsia" w:eastAsia="楷体_GB2312"/>
        </w:rPr>
        <w:t>第三章  房屋使用安全防范</w:t>
      </w:r>
    </w:p>
    <w:p>
      <w:pPr>
        <w:pStyle w:val="Normal"/>
        <w:ind w:endChars="0" w:end="0"/>
        <w:rPr>
          <w:rFonts w:eastAsia="楷体_GB2312" w:hint="eastAsia"/>
        </w:rPr>
      </w:pPr>
      <w:r>
        <w:rPr>
          <w:rFonts w:hint="eastAsia" w:eastAsia="楷体_GB2312"/>
        </w:rPr>
        <w:t>第四章  房屋安全鉴定</w:t>
      </w:r>
    </w:p>
    <w:p>
      <w:pPr>
        <w:pStyle w:val="Normal"/>
        <w:ind w:endChars="0" w:end="0"/>
        <w:rPr>
          <w:rFonts w:eastAsia="楷体_GB2312" w:hint="eastAsia"/>
        </w:rPr>
      </w:pPr>
      <w:r>
        <w:rPr>
          <w:rFonts w:hint="eastAsia" w:eastAsia="楷体_GB2312"/>
        </w:rPr>
        <w:t>第五章  危险房屋治理和应急处置</w:t>
      </w:r>
    </w:p>
    <w:p>
      <w:pPr>
        <w:pStyle w:val="Normal"/>
        <w:ind w:endChars="0" w:end="0"/>
        <w:rPr>
          <w:rFonts w:eastAsia="楷体_GB2312" w:hint="eastAsia"/>
        </w:rPr>
      </w:pPr>
      <w:r>
        <w:rPr>
          <w:rFonts w:hint="eastAsia" w:eastAsia="楷体_GB2312"/>
        </w:rPr>
        <w:t>第六章  法律责任</w:t>
      </w:r>
    </w:p>
    <w:p>
      <w:pPr>
        <w:pStyle w:val="Normal"/>
        <w:ind w:endChars="0" w:end="0"/>
        <w:rPr>
          <w:rFonts w:eastAsia="楷体_GB2312" w:hint="eastAsia"/>
        </w:rPr>
      </w:pPr>
      <w:r>
        <w:rPr>
          <w:rFonts w:hint="eastAsia" w:eastAsia="楷体_GB2312"/>
        </w:rPr>
        <w:t>第七章  附则</w:t>
      </w:r>
    </w:p>
    <w:p>
      <w:pPr>
        <w:pStyle w:val="Normal"/>
        <w:ind w:endChars="0" w:end="0"/>
        <w:jc w:val="center"/>
        <w:rPr>
          <w:rFonts w:eastAsia="黑体;SimHei" w:hint="eastAsia"/>
        </w:rPr>
      </w:pPr>
      <w:r>
        <w:rPr>
          <w:rFonts w:eastAsia="黑体;SimHei" w:hint="eastAsia"/>
        </w:rPr>
      </w:r>
    </w:p>
    <w:p>
      <w:pPr>
        <w:pStyle w:val="Normal"/>
        <w:ind w:firstLineChars="0" w:firstLine="0" w:endChars="0" w:end="0"/>
        <w:jc w:val="center"/>
        <w:rPr>
          <w:rFonts w:eastAsia="黑体;SimHei" w:hint="eastAsia"/>
        </w:rPr>
      </w:pPr>
      <w:r>
        <w:rPr>
          <w:rFonts w:hint="eastAsia" w:eastAsia="黑体;SimHei"/>
        </w:rPr>
        <w:t>第一章  总则</w:t>
      </w:r>
    </w:p>
    <w:p>
      <w:pPr>
        <w:pStyle w:val="Normal"/>
        <w:ind w:endChars="0" w:end="0"/>
        <w:rPr>
          <w:rFonts w:eastAsia="黑体;SimHei" w:hint="eastAsia"/>
        </w:rPr>
      </w:pPr>
      <w:r>
        <w:rPr>
          <w:rFonts w:eastAsia="黑体;SimHei" w:hint="eastAsia"/>
        </w:rPr>
      </w:r>
    </w:p>
    <w:p>
      <w:pPr>
        <w:pStyle w:val="Normal"/>
        <w:ind w:endChars="0" w:end="0"/>
        <w:rPr/>
      </w:pPr>
      <w:r>
        <w:rPr>
          <w:rFonts w:hint="eastAsia" w:eastAsia="黑体;SimHei"/>
        </w:rPr>
        <w:t xml:space="preserve">第一条 </w:t>
      </w:r>
      <w:r>
        <w:rPr>
          <w:rFonts w:hint="eastAsia"/>
        </w:rPr>
        <w:t xml:space="preserve"> 为了规范房屋使用安全管理，保障公民、法人和其他组织的人身、财产安全，维护公共安全，根据有关法律、法规，结合本市实际，制定本条例。</w:t>
      </w:r>
    </w:p>
    <w:p>
      <w:pPr>
        <w:pStyle w:val="Normal"/>
        <w:ind w:endChars="0" w:end="0"/>
        <w:rPr>
          <w:rFonts w:eastAsia="楷体_GB2312" w:hint="eastAsia"/>
          <w:shd w:fill="A6A6A6" w:val="clear"/>
        </w:rPr>
      </w:pPr>
      <w:r>
        <w:rPr>
          <w:rFonts w:hint="eastAsia" w:eastAsia="黑体;SimHei"/>
        </w:rPr>
        <w:t xml:space="preserve">第二条  </w:t>
      </w:r>
      <w:r>
        <w:rPr>
          <w:rFonts w:hint="eastAsia"/>
        </w:rPr>
        <w:t>本条例适用于本市行政区域内已投入使用房屋的安全管理，包括房屋使用安全责任认定、房屋使用安全防范、房屋安全鉴定、危险房屋治理和应急处置等管理。</w:t>
      </w:r>
    </w:p>
    <w:p>
      <w:pPr>
        <w:pStyle w:val="Normal"/>
        <w:ind w:endChars="0" w:end="0"/>
        <w:rPr>
          <w:rFonts w:hint="eastAsia"/>
        </w:rPr>
      </w:pPr>
      <w:r>
        <w:rPr>
          <w:rFonts w:hint="eastAsia"/>
        </w:rPr>
        <w:t>军队房屋、宗教活动场所房屋、文物保护建筑、古建筑的使用安全管理，作为生产经营单位设施的房屋使用安全管理，法律、法规另有规定的，从其规定。</w:t>
      </w:r>
    </w:p>
    <w:p>
      <w:pPr>
        <w:pStyle w:val="Normal"/>
        <w:ind w:endChars="0" w:end="0"/>
        <w:rPr>
          <w:rFonts w:hint="eastAsia"/>
        </w:rPr>
      </w:pPr>
      <w:r>
        <w:rPr>
          <w:rFonts w:hint="eastAsia"/>
        </w:rPr>
        <w:t>房屋消防、抗震、防雷安全和电梯、供电、供水、供气等设施设备的使用安全管理，依照有关法律、法规规定执行。</w:t>
      </w:r>
    </w:p>
    <w:p>
      <w:pPr>
        <w:pStyle w:val="Normal"/>
        <w:ind w:endChars="0" w:end="0"/>
        <w:rPr/>
      </w:pPr>
      <w:r>
        <w:rPr>
          <w:rFonts w:hint="eastAsia" w:eastAsia="黑体;SimHei"/>
        </w:rPr>
        <w:t xml:space="preserve">第三条  </w:t>
      </w:r>
      <w:r>
        <w:rPr>
          <w:rFonts w:hint="eastAsia"/>
        </w:rPr>
        <w:t>房屋使用安全管理遵循属地管理、综合治理、预防为主、防治结合、确保安全的原则。</w:t>
      </w:r>
    </w:p>
    <w:p>
      <w:pPr>
        <w:pStyle w:val="Normal"/>
        <w:tabs>
          <w:tab w:val="clear" w:pos="425"/>
          <w:tab w:val="left" w:pos="3318" w:leader="none"/>
        </w:tabs>
        <w:ind w:endChars="0" w:end="0"/>
        <w:rPr/>
      </w:pPr>
      <w:r>
        <w:rPr>
          <w:rFonts w:hint="eastAsia" w:eastAsia="黑体;SimHei"/>
        </w:rPr>
        <w:t xml:space="preserve">第四条  </w:t>
      </w:r>
      <w:r>
        <w:rPr>
          <w:rFonts w:hint="eastAsia"/>
        </w:rPr>
        <w:t>市人民政府负责本市房屋使用安全管理工作的统一领导，统筹协调房屋使用安全管理工作。</w:t>
      </w:r>
    </w:p>
    <w:p>
      <w:pPr>
        <w:pStyle w:val="Normal"/>
        <w:ind w:endChars="0" w:end="0"/>
        <w:rPr>
          <w:rFonts w:hint="eastAsia"/>
        </w:rPr>
      </w:pPr>
      <w:r>
        <w:rPr>
          <w:rFonts w:hint="eastAsia"/>
        </w:rPr>
        <w:t>县级市（区）人民政府负责本行政区域内房屋使用安全管理工作的领导和综合协调，组织处置房屋使用安全突发事件。</w:t>
      </w:r>
    </w:p>
    <w:p>
      <w:pPr>
        <w:pStyle w:val="Normal"/>
        <w:ind w:endChars="0" w:end="0"/>
        <w:rPr>
          <w:rFonts w:hint="eastAsia"/>
          <w:u w:val="single"/>
        </w:rPr>
      </w:pPr>
      <w:r>
        <w:rPr>
          <w:rFonts w:hint="eastAsia"/>
        </w:rPr>
        <w:t>镇人民政府、街道办事处应当建立房屋使用安全常态化、网格化巡查制度，协助、配合上级人民政府和有关部门组织实施危险房屋治理和应急处置等工作。镇人民政府、街道办事处可以通过购买公共服务、组建专业巡查队伍等方式，开展房屋使用安全巡查工作。</w:t>
      </w:r>
    </w:p>
    <w:p>
      <w:pPr>
        <w:pStyle w:val="Normal"/>
        <w:ind w:endChars="0" w:end="0"/>
        <w:rPr>
          <w:rFonts w:hint="eastAsia"/>
          <w:color w:val="FF0000"/>
          <w:shd w:fill="A6A6A6" w:val="clear"/>
        </w:rPr>
      </w:pPr>
      <w:r>
        <w:rPr>
          <w:rFonts w:hint="eastAsia"/>
        </w:rPr>
        <w:t>开发区（园区）管理机构应当按照市、县级市（区）人民政府规定的职责，做好区域内房屋使用安全管理工作。</w:t>
      </w:r>
    </w:p>
    <w:p>
      <w:pPr>
        <w:pStyle w:val="Normal"/>
        <w:ind w:endChars="0" w:end="0"/>
        <w:rPr>
          <w:rFonts w:hint="eastAsia"/>
        </w:rPr>
      </w:pPr>
      <w:r>
        <w:rPr>
          <w:rFonts w:hint="eastAsia"/>
        </w:rPr>
        <w:t>市、县级市（区）人民政府应当组织市容市政（城市管理）、规划等部门和镇人民政府、街道办事处，依法及时处置正在使用的违法建筑，消除安全隐患。</w:t>
      </w:r>
    </w:p>
    <w:p>
      <w:pPr>
        <w:pStyle w:val="Normal"/>
        <w:ind w:endChars="0" w:end="0"/>
        <w:rPr/>
      </w:pPr>
      <w:r>
        <w:rPr>
          <w:rFonts w:hint="eastAsia" w:eastAsia="黑体;SimHei"/>
        </w:rPr>
        <w:t xml:space="preserve">第五条  </w:t>
      </w:r>
      <w:r>
        <w:rPr>
          <w:rFonts w:hint="eastAsia"/>
        </w:rPr>
        <w:t>市、县级市（区）住房城乡建设部门是本行政区域内房屋使用安全管理的行政主管部门，可以委托房屋安全管理机构和白蚁防治管理机构具体负责相应的日常事务工作。</w:t>
      </w:r>
    </w:p>
    <w:p>
      <w:pPr>
        <w:pStyle w:val="Normal"/>
        <w:ind w:endChars="0" w:end="0"/>
        <w:rPr>
          <w:rFonts w:hint="eastAsia"/>
        </w:rPr>
      </w:pPr>
      <w:r>
        <w:rPr>
          <w:rFonts w:hint="eastAsia"/>
        </w:rPr>
        <w:t>市住房城乡建设部门负责本市行政区域内房屋使用安全的统一指导和综合监督管理。</w:t>
      </w:r>
    </w:p>
    <w:p>
      <w:pPr>
        <w:pStyle w:val="Normal"/>
        <w:ind w:endChars="0" w:end="0"/>
        <w:rPr>
          <w:rFonts w:hint="eastAsia"/>
        </w:rPr>
      </w:pPr>
      <w:r>
        <w:rPr>
          <w:rFonts w:hint="eastAsia"/>
        </w:rPr>
        <w:t>县级市（区）住房城乡建设部门负责本行政区域内房屋使用安全的监督管理、实施房屋结构改造安全行政许可、制止和查处危害房屋使用安全行为等工作。</w:t>
      </w:r>
    </w:p>
    <w:p>
      <w:pPr>
        <w:pStyle w:val="Normal"/>
        <w:ind w:endChars="0" w:end="0"/>
        <w:rPr/>
      </w:pPr>
      <w:r>
        <w:rPr>
          <w:rFonts w:hint="eastAsia" w:eastAsia="黑体;SimHei"/>
        </w:rPr>
        <w:t xml:space="preserve">第六条  </w:t>
      </w:r>
      <w:r>
        <w:rPr>
          <w:rFonts w:hint="eastAsia"/>
        </w:rPr>
        <w:t>规划、国土资源、财政、市容市政（城市管理）、公安、消防、市场监督管理等部门应当按照各自职责，做好房屋使用安全管理相关工作，实施专项监督管理。</w:t>
      </w:r>
    </w:p>
    <w:p>
      <w:pPr>
        <w:pStyle w:val="Normal"/>
        <w:ind w:endChars="0" w:end="0"/>
        <w:rPr/>
      </w:pPr>
      <w:r>
        <w:rPr>
          <w:rFonts w:hint="eastAsia"/>
        </w:rPr>
        <w:t>教育、卫生计生、文化广电新闻出版、体育、交通运输、旅游、园林和绿化、市场监督管理、商务、民政、民族宗教事务等部门应当按照各自职责，督促学校、医疗卫生机构、文体场馆、车站、景区、商场、宾馆、饭店、集贸市场、养老服务机构、儿童福利机构、宗教活动场所</w:t>
      </w:r>
      <w:r>
        <w:rPr>
          <w:rFonts w:hint="eastAsia"/>
          <w:shd w:fill="FFFFFF" w:val="clear"/>
        </w:rPr>
        <w:t>等</w:t>
      </w:r>
      <w:r>
        <w:rPr>
          <w:rFonts w:hint="eastAsia"/>
        </w:rPr>
        <w:t>公共场所的房屋所有权人、管理单位定期进行房屋安全检查，及时消除安全隐患。</w:t>
      </w:r>
    </w:p>
    <w:p>
      <w:pPr>
        <w:pStyle w:val="Normal"/>
        <w:ind w:endChars="0" w:end="0"/>
        <w:rPr/>
      </w:pPr>
      <w:r>
        <w:rPr>
          <w:rFonts w:hint="eastAsia" w:eastAsia="黑体;SimHei"/>
        </w:rPr>
        <w:t xml:space="preserve">第七条  </w:t>
      </w:r>
      <w:r>
        <w:rPr>
          <w:rFonts w:hint="eastAsia"/>
        </w:rPr>
        <w:t>市、县级市（区）人民政府应当将房屋使用安全管理工作经费纳入财政预算，用于房屋使用安全巡查普查、房屋安全鉴定、危险房屋治理和应急处置、信息化建设等工作经费保障。</w:t>
      </w:r>
    </w:p>
    <w:p>
      <w:pPr>
        <w:pStyle w:val="Normal"/>
        <w:ind w:endChars="0" w:end="0"/>
        <w:rPr>
          <w:rFonts w:hint="eastAsia"/>
          <w:shd w:fill="A6A6A6" w:val="clear"/>
        </w:rPr>
      </w:pPr>
      <w:r>
        <w:rPr>
          <w:rFonts w:hint="eastAsia" w:eastAsia="黑体;SimHei"/>
        </w:rPr>
        <w:t xml:space="preserve">第八条  </w:t>
      </w:r>
      <w:r>
        <w:rPr>
          <w:rFonts w:hint="eastAsia"/>
        </w:rPr>
        <w:t>住房城乡建设部门、镇人民政府、街道办事处应当组织开展宣传教育，普及房屋使用安全知识，提高社会公众安全使用房屋的意识。</w:t>
      </w:r>
    </w:p>
    <w:p>
      <w:pPr>
        <w:pStyle w:val="Normal"/>
        <w:ind w:endChars="0" w:end="0"/>
        <w:rPr>
          <w:rFonts w:hint="eastAsia"/>
        </w:rPr>
      </w:pPr>
      <w:r>
        <w:rPr>
          <w:rFonts w:hint="eastAsia"/>
        </w:rPr>
        <w:t>鼓励单位和个人通过参加志愿服务等形式，参与房屋使用安全的宣传教育等活动，配合做好房屋使用安全管理工作。</w:t>
      </w:r>
    </w:p>
    <w:p>
      <w:pPr>
        <w:pStyle w:val="Normal"/>
        <w:ind w:endChars="0" w:end="0"/>
        <w:rPr/>
      </w:pPr>
      <w:r>
        <w:rPr>
          <w:rFonts w:hint="eastAsia" w:eastAsia="黑体;SimHei"/>
        </w:rPr>
        <w:t xml:space="preserve">第九条  </w:t>
      </w:r>
      <w:r>
        <w:rPr>
          <w:rFonts w:hint="eastAsia"/>
        </w:rPr>
        <w:t>任何单位和个人有权对违反本条例的行为进行投诉、举报。</w:t>
      </w:r>
    </w:p>
    <w:p>
      <w:pPr>
        <w:pStyle w:val="Normal"/>
        <w:ind w:endChars="0" w:end="0"/>
        <w:rPr/>
      </w:pPr>
      <w:r>
        <w:rPr>
          <w:rFonts w:hint="eastAsia"/>
          <w:spacing w:val="-8"/>
          <w:szCs w:val="32"/>
        </w:rPr>
        <w:t>对在房屋使用安全管理工作中做出显著成绩的单位和个人，由市、县级市（区）人民政府或者住房城乡建设部门予以表彰、奖励</w:t>
      </w:r>
      <w:r>
        <w:rPr>
          <w:rFonts w:hint="eastAsia"/>
        </w:rPr>
        <w:t>。</w:t>
      </w:r>
    </w:p>
    <w:p>
      <w:pPr>
        <w:pStyle w:val="Normal"/>
        <w:ind w:endChars="0" w:end="0"/>
        <w:jc w:val="center"/>
        <w:rPr>
          <w:rFonts w:eastAsia="黑体;SimHei" w:hint="eastAsia"/>
        </w:rPr>
      </w:pPr>
      <w:r>
        <w:rPr>
          <w:rFonts w:eastAsia="黑体;SimHei" w:hint="eastAsia"/>
        </w:rPr>
      </w:r>
    </w:p>
    <w:p>
      <w:pPr>
        <w:pStyle w:val="Normal"/>
        <w:ind w:firstLineChars="0" w:firstLine="0" w:endChars="0" w:end="0"/>
        <w:jc w:val="center"/>
        <w:rPr>
          <w:rFonts w:eastAsia="黑体;SimHei" w:hint="eastAsia"/>
        </w:rPr>
      </w:pPr>
      <w:r>
        <w:rPr>
          <w:rFonts w:hint="eastAsia" w:eastAsia="黑体;SimHei"/>
        </w:rPr>
        <w:t>第二章  房屋使用安全责任</w:t>
      </w:r>
    </w:p>
    <w:p>
      <w:pPr>
        <w:pStyle w:val="Normal"/>
        <w:ind w:endChars="0" w:end="0"/>
        <w:rPr>
          <w:rFonts w:eastAsia="黑体;SimHei" w:hint="eastAsia"/>
        </w:rPr>
      </w:pPr>
      <w:r>
        <w:rPr>
          <w:rFonts w:eastAsia="黑体;SimHei" w:hint="eastAsia"/>
        </w:rPr>
      </w:r>
    </w:p>
    <w:p>
      <w:pPr>
        <w:pStyle w:val="Normal"/>
        <w:ind w:endChars="0" w:end="0"/>
        <w:rPr/>
      </w:pPr>
      <w:r>
        <w:rPr>
          <w:rFonts w:hint="eastAsia" w:eastAsia="黑体;SimHei"/>
        </w:rPr>
        <w:t xml:space="preserve">第十条  </w:t>
      </w:r>
      <w:r>
        <w:rPr>
          <w:rFonts w:hint="eastAsia"/>
        </w:rPr>
        <w:t>房屋所有权人为房屋使用安全责任人。</w:t>
      </w:r>
    </w:p>
    <w:p>
      <w:pPr>
        <w:pStyle w:val="Normal"/>
        <w:ind w:endChars="0" w:end="0"/>
        <w:rPr>
          <w:rFonts w:hint="eastAsia"/>
        </w:rPr>
      </w:pPr>
      <w:r>
        <w:rPr>
          <w:rFonts w:hint="eastAsia"/>
        </w:rPr>
        <w:t>房屋属于国家或者集体所有的，其管理单位为房屋使用安全责任人。</w:t>
      </w:r>
    </w:p>
    <w:p>
      <w:pPr>
        <w:pStyle w:val="Normal"/>
        <w:ind w:endChars="0" w:end="0"/>
        <w:rPr/>
      </w:pPr>
      <w:r>
        <w:rPr>
          <w:rFonts w:hint="eastAsia"/>
        </w:rPr>
        <w:t>房屋所有权人下落不明或者房屋权属不清的，房屋使用人先行</w:t>
      </w:r>
      <w:r>
        <w:rPr>
          <w:rFonts w:hint="eastAsia"/>
          <w:shd w:fill="FFFFFF" w:val="clear"/>
        </w:rPr>
        <w:t>承担</w:t>
      </w:r>
      <w:r>
        <w:rPr>
          <w:rFonts w:hint="eastAsia"/>
        </w:rPr>
        <w:t>房屋使用安全责任；没有房屋使用人的，管理单位先行承担房屋使用安全责任。</w:t>
      </w:r>
    </w:p>
    <w:p>
      <w:pPr>
        <w:pStyle w:val="Normal"/>
        <w:ind w:endChars="0" w:end="0"/>
        <w:rPr/>
      </w:pPr>
      <w:r>
        <w:rPr>
          <w:rFonts w:hint="eastAsia" w:eastAsia="黑体;SimHei"/>
        </w:rPr>
        <w:t xml:space="preserve">第十一条  </w:t>
      </w:r>
      <w:r>
        <w:rPr>
          <w:rFonts w:hint="eastAsia"/>
        </w:rPr>
        <w:t>房屋使用安全责任人承担下列房屋使用安全责任：</w:t>
      </w:r>
    </w:p>
    <w:p>
      <w:pPr>
        <w:pStyle w:val="Normal"/>
        <w:ind w:endChars="0" w:end="0"/>
        <w:rPr>
          <w:rFonts w:hint="eastAsia"/>
        </w:rPr>
      </w:pPr>
      <w:r>
        <w:rPr>
          <w:rFonts w:hint="eastAsia"/>
        </w:rPr>
        <w:t>（一）合理使用房屋或者监督使用人使用房屋；</w:t>
      </w:r>
    </w:p>
    <w:p>
      <w:pPr>
        <w:pStyle w:val="Normal"/>
        <w:ind w:endChars="0" w:end="0"/>
        <w:rPr>
          <w:rFonts w:hint="eastAsia"/>
        </w:rPr>
      </w:pPr>
      <w:r>
        <w:rPr>
          <w:rFonts w:hint="eastAsia"/>
        </w:rPr>
        <w:t>（二）按照规定实施房屋装修改造；</w:t>
      </w:r>
    </w:p>
    <w:p>
      <w:pPr>
        <w:pStyle w:val="Normal"/>
        <w:ind w:endChars="0" w:end="0"/>
        <w:rPr>
          <w:rFonts w:hint="eastAsia"/>
        </w:rPr>
      </w:pPr>
      <w:r>
        <w:rPr>
          <w:rFonts w:hint="eastAsia"/>
        </w:rPr>
        <w:t>（三）灭治白蚁；</w:t>
      </w:r>
    </w:p>
    <w:p>
      <w:pPr>
        <w:pStyle w:val="Normal"/>
        <w:ind w:endChars="0" w:end="0"/>
        <w:rPr>
          <w:rFonts w:hint="eastAsia"/>
        </w:rPr>
      </w:pPr>
      <w:r>
        <w:rPr>
          <w:rFonts w:hint="eastAsia"/>
        </w:rPr>
        <w:t>（四）按照规定委托房屋安全鉴定；</w:t>
      </w:r>
    </w:p>
    <w:p>
      <w:pPr>
        <w:pStyle w:val="Normal"/>
        <w:ind w:endChars="0" w:end="0"/>
        <w:rPr>
          <w:rFonts w:hint="eastAsia"/>
        </w:rPr>
      </w:pPr>
      <w:r>
        <w:rPr>
          <w:rFonts w:hint="eastAsia"/>
        </w:rPr>
        <w:t>（五）检查、维修房屋，及时治理房屋安全隐患；</w:t>
      </w:r>
    </w:p>
    <w:p>
      <w:pPr>
        <w:pStyle w:val="Normal"/>
        <w:ind w:endChars="0" w:end="0"/>
        <w:rPr>
          <w:rFonts w:hint="eastAsia"/>
        </w:rPr>
      </w:pPr>
      <w:r>
        <w:rPr>
          <w:rFonts w:hint="eastAsia"/>
        </w:rPr>
        <w:t>（六）治理危险房屋；</w:t>
      </w:r>
    </w:p>
    <w:p>
      <w:pPr>
        <w:pStyle w:val="Normal"/>
        <w:ind w:endChars="0" w:end="0"/>
        <w:rPr>
          <w:rFonts w:hint="eastAsia"/>
        </w:rPr>
      </w:pPr>
      <w:r>
        <w:rPr>
          <w:rFonts w:hint="eastAsia"/>
        </w:rPr>
        <w:t>（七）采取保障房屋使用安全的其他必要措施。</w:t>
      </w:r>
    </w:p>
    <w:p>
      <w:pPr>
        <w:pStyle w:val="Normal"/>
        <w:ind w:endChars="0" w:end="0"/>
        <w:rPr>
          <w:rFonts w:hint="eastAsia"/>
        </w:rPr>
      </w:pPr>
      <w:r>
        <w:rPr>
          <w:rFonts w:hint="eastAsia"/>
        </w:rPr>
        <w:t>房屋使用人应当合理、审慎使用房屋，发现房屋及其附属设施出现变形、白蚁危害、建筑幕墙和外墙外保温系统脱落等险情的，立即告知房屋使用安全责任人。房屋使用人应当配合房屋使用安全责任人履行房屋使用安全义务。</w:t>
      </w:r>
    </w:p>
    <w:p>
      <w:pPr>
        <w:pStyle w:val="Normal"/>
        <w:ind w:endChars="0" w:end="0"/>
        <w:rPr/>
      </w:pPr>
      <w:r>
        <w:rPr>
          <w:rFonts w:hint="eastAsia" w:eastAsia="黑体;SimHei"/>
        </w:rPr>
        <w:t xml:space="preserve">第十二条 </w:t>
      </w:r>
      <w:r>
        <w:rPr>
          <w:rFonts w:hint="eastAsia"/>
        </w:rPr>
        <w:t xml:space="preserve"> 房屋共用部位实行委托管理的，其安全检查和修缮维护，由受委托的物业服务企业或者其他管理单位按照约定实施，并建立相应的管理档案。未实行委托管理或者委托管理约定不明确的，由房屋使用安全责任人负责承担。</w:t>
      </w:r>
    </w:p>
    <w:p>
      <w:pPr>
        <w:pStyle w:val="Normal"/>
        <w:ind w:endChars="0" w:end="0"/>
        <w:rPr/>
      </w:pPr>
      <w:r>
        <w:rPr>
          <w:rFonts w:hint="eastAsia" w:eastAsia="黑体;SimHei"/>
        </w:rPr>
        <w:t xml:space="preserve">第十三条 </w:t>
      </w:r>
      <w:r>
        <w:rPr>
          <w:rFonts w:hint="eastAsia"/>
        </w:rPr>
        <w:t xml:space="preserve"> 建设单位应当按照有关法律、法规的规定以及合同的约定，承担保修期间房屋质量缺陷的保修和治理责任，但因使用不当、不可抗力、第三方侵权行为造成的损坏除外。</w:t>
      </w:r>
    </w:p>
    <w:p>
      <w:pPr>
        <w:pStyle w:val="Normal"/>
        <w:ind w:endChars="0" w:end="0"/>
        <w:rPr>
          <w:rFonts w:hint="eastAsia"/>
        </w:rPr>
      </w:pPr>
      <w:r>
        <w:rPr>
          <w:rFonts w:hint="eastAsia"/>
        </w:rPr>
        <w:t>房屋的勘察、设计、施工、监理等单位应当按照有关法律、法规的规定以及与建设单位所签订合同的约定承担相应责任。</w:t>
      </w:r>
    </w:p>
    <w:p>
      <w:pPr>
        <w:pStyle w:val="Normal"/>
        <w:ind w:endChars="0" w:end="0"/>
        <w:jc w:val="center"/>
        <w:rPr>
          <w:rFonts w:eastAsia="黑体;SimHei" w:hint="eastAsia"/>
        </w:rPr>
      </w:pPr>
      <w:r>
        <w:rPr>
          <w:rFonts w:eastAsia="黑体;SimHei" w:hint="eastAsia"/>
        </w:rPr>
      </w:r>
    </w:p>
    <w:p>
      <w:pPr>
        <w:pStyle w:val="Normal"/>
        <w:ind w:firstLineChars="0" w:firstLine="0" w:endChars="0" w:end="0"/>
        <w:jc w:val="center"/>
        <w:rPr>
          <w:rFonts w:eastAsia="黑体;SimHei" w:hint="eastAsia"/>
        </w:rPr>
      </w:pPr>
      <w:r>
        <w:rPr>
          <w:rFonts w:hint="eastAsia" w:eastAsia="黑体;SimHei"/>
        </w:rPr>
        <w:t>第三章  房屋使用安全防范</w:t>
      </w:r>
    </w:p>
    <w:p>
      <w:pPr>
        <w:pStyle w:val="Normal"/>
        <w:widowControl/>
        <w:shd w:fill="FFFFFF" w:val="clear"/>
        <w:ind w:endChars="0" w:end="0"/>
        <w:jc w:val="start"/>
        <w:rPr>
          <w:rFonts w:eastAsia="黑体;SimHei" w:hint="eastAsia"/>
        </w:rPr>
      </w:pPr>
      <w:r>
        <w:rPr>
          <w:rFonts w:eastAsia="黑体;SimHei" w:hint="eastAsia"/>
        </w:rPr>
      </w:r>
    </w:p>
    <w:p>
      <w:pPr>
        <w:pStyle w:val="Normal"/>
        <w:widowControl/>
        <w:shd w:fill="FFFFFF" w:val="clear"/>
        <w:ind w:endChars="0" w:end="0"/>
        <w:jc w:val="start"/>
        <w:rPr>
          <w:rFonts w:eastAsia="黑体;SimHei" w:hint="eastAsia"/>
        </w:rPr>
      </w:pPr>
      <w:r>
        <w:rPr>
          <w:rFonts w:hint="eastAsia" w:eastAsia="黑体;SimHei"/>
        </w:rPr>
        <w:t xml:space="preserve">第十四条  </w:t>
      </w:r>
      <w:r>
        <w:rPr>
          <w:rFonts w:hint="eastAsia"/>
          <w:shd w:fill="FFFFFF" w:val="clear"/>
        </w:rPr>
        <w:t>应当</w:t>
      </w:r>
      <w:r>
        <w:rPr>
          <w:rFonts w:hint="eastAsia"/>
        </w:rPr>
        <w:t>申领建筑工程施工许可证的房屋装修工程，依照《中华人民共和国建筑法》等有关法律、法规的规定办理。</w:t>
      </w:r>
    </w:p>
    <w:p>
      <w:pPr>
        <w:pStyle w:val="Normal"/>
        <w:widowControl/>
        <w:shd w:fill="FFFFFF" w:val="clear"/>
        <w:ind w:endChars="0" w:end="0"/>
        <w:jc w:val="start"/>
        <w:rPr>
          <w:rFonts w:eastAsia="黑体;SimHei" w:hint="eastAsia"/>
        </w:rPr>
      </w:pPr>
      <w:r>
        <w:rPr>
          <w:rFonts w:hint="eastAsia" w:eastAsia="黑体;SimHei"/>
        </w:rPr>
        <w:t xml:space="preserve">第十五条  </w:t>
      </w:r>
      <w:r>
        <w:rPr>
          <w:rFonts w:hint="eastAsia"/>
        </w:rPr>
        <w:t>不需要申领建筑工程施工许可证的房屋结构改造，禁止拆改房屋的基础、墙、柱、主梁及屋架等主要承重构件，或者超过房屋原设计承载力增加荷载。</w:t>
      </w:r>
    </w:p>
    <w:p>
      <w:pPr>
        <w:pStyle w:val="Normal"/>
        <w:widowControl/>
        <w:shd w:fill="FFFFFF" w:val="clear"/>
        <w:ind w:endChars="0" w:end="0"/>
        <w:jc w:val="start"/>
        <w:rPr/>
      </w:pPr>
      <w:r>
        <w:rPr>
          <w:rFonts w:hint="eastAsia" w:eastAsia="黑体;SimHei"/>
        </w:rPr>
        <w:t>第十六条</w:t>
      </w:r>
      <w:r>
        <w:rPr>
          <w:rFonts w:hint="eastAsia"/>
        </w:rPr>
        <w:t xml:space="preserve">  不需要申领建筑工程施工许可证的房屋结构改造，涉及在楼面结构层开凿、扩大洞口，拆除或者部分拆除房屋中抗震、防火措施以外的非承重墙体的，房屋所有权人、管理单位或者房屋使用人应当在施工前向房屋所在地的县级市（区）住房城乡建设部门申请房屋结构改造安全行政许可。</w:t>
      </w:r>
    </w:p>
    <w:p>
      <w:pPr>
        <w:pStyle w:val="Normal"/>
        <w:widowControl/>
        <w:shd w:fill="FFFFFF" w:val="clear"/>
        <w:ind w:endChars="0" w:end="0"/>
        <w:jc w:val="start"/>
        <w:rPr>
          <w:rFonts w:hint="eastAsia"/>
        </w:rPr>
      </w:pPr>
      <w:r>
        <w:rPr>
          <w:rFonts w:hint="eastAsia"/>
        </w:rPr>
        <w:t>在农村宅基地自建自住房屋上有本条第一款规定行为的，可以不办理房屋结构改造安全行政许可。</w:t>
      </w:r>
    </w:p>
    <w:p>
      <w:pPr>
        <w:pStyle w:val="Normal"/>
        <w:ind w:endChars="0" w:end="0"/>
        <w:rPr>
          <w:rFonts w:hint="eastAsia"/>
        </w:rPr>
      </w:pPr>
      <w:r>
        <w:rPr>
          <w:rFonts w:hint="eastAsia"/>
        </w:rPr>
        <w:t>申请房屋结构改造安全行政许可应当提交下列材料：</w:t>
      </w:r>
    </w:p>
    <w:p>
      <w:pPr>
        <w:pStyle w:val="Normal"/>
        <w:ind w:endChars="0" w:end="0"/>
        <w:rPr>
          <w:rFonts w:hint="eastAsia"/>
        </w:rPr>
      </w:pPr>
      <w:r>
        <w:rPr>
          <w:rFonts w:hint="eastAsia"/>
        </w:rPr>
        <w:t>（一）行政许可申请书；</w:t>
      </w:r>
    </w:p>
    <w:p>
      <w:pPr>
        <w:pStyle w:val="Normal"/>
        <w:ind w:endChars="0" w:end="0"/>
        <w:rPr>
          <w:rFonts w:hint="eastAsia"/>
        </w:rPr>
      </w:pPr>
      <w:r>
        <w:rPr>
          <w:rFonts w:hint="eastAsia"/>
        </w:rPr>
        <w:t>（二）申请人身份证明；</w:t>
      </w:r>
    </w:p>
    <w:p>
      <w:pPr>
        <w:pStyle w:val="Normal"/>
        <w:ind w:endChars="0" w:end="0"/>
        <w:rPr>
          <w:rFonts w:hint="eastAsia"/>
        </w:rPr>
      </w:pPr>
      <w:r>
        <w:rPr>
          <w:rFonts w:hint="eastAsia"/>
        </w:rPr>
        <w:t>（三）不动产权属证书或者其他确认权利的有效证明；</w:t>
      </w:r>
    </w:p>
    <w:p>
      <w:pPr>
        <w:pStyle w:val="Normal"/>
        <w:ind w:endChars="0" w:end="0"/>
        <w:rPr>
          <w:rFonts w:hint="eastAsia"/>
        </w:rPr>
      </w:pPr>
      <w:r>
        <w:rPr>
          <w:rFonts w:hint="eastAsia"/>
        </w:rPr>
        <w:t>（四）房屋使用人申请的，提交房屋使用安全责任人同意的书面证明；</w:t>
      </w:r>
    </w:p>
    <w:p>
      <w:pPr>
        <w:pStyle w:val="Normal"/>
        <w:ind w:endChars="0" w:end="0"/>
        <w:rPr>
          <w:rFonts w:hint="eastAsia"/>
        </w:rPr>
      </w:pPr>
      <w:r>
        <w:rPr>
          <w:rFonts w:hint="eastAsia"/>
        </w:rPr>
        <w:t>（五）涉及共用部位的，提交共用人同意的书面证明；</w:t>
      </w:r>
    </w:p>
    <w:p>
      <w:pPr>
        <w:pStyle w:val="Normal"/>
        <w:ind w:endChars="0" w:end="0"/>
        <w:rPr>
          <w:rFonts w:hint="eastAsia"/>
        </w:rPr>
      </w:pPr>
      <w:r>
        <w:rPr>
          <w:rFonts w:hint="eastAsia"/>
        </w:rPr>
        <w:t>（六）房屋原设计单位或者其他具有相应资质的设计单位出具的房屋结构改造设计方案，或者房屋安全鉴定机构出具的鉴定文书。</w:t>
      </w:r>
    </w:p>
    <w:p>
      <w:pPr>
        <w:pStyle w:val="Normal"/>
        <w:ind w:endChars="0" w:end="0"/>
        <w:rPr/>
      </w:pPr>
      <w:r>
        <w:rPr>
          <w:rFonts w:hint="eastAsia" w:eastAsia="黑体;SimHei"/>
        </w:rPr>
        <w:t xml:space="preserve">第十七条 </w:t>
      </w:r>
      <w:r>
        <w:rPr>
          <w:rFonts w:hint="eastAsia"/>
        </w:rPr>
        <w:t xml:space="preserve"> 房屋使用安全责任人或者房屋使用人应当在施工现场的醒目位置公示行政许可决定的内容。</w:t>
      </w:r>
    </w:p>
    <w:p>
      <w:pPr>
        <w:pStyle w:val="Normal"/>
        <w:ind w:endChars="0" w:end="0"/>
        <w:rPr>
          <w:rFonts w:hint="eastAsia"/>
        </w:rPr>
      </w:pPr>
      <w:r>
        <w:rPr>
          <w:rFonts w:hint="eastAsia"/>
        </w:rPr>
        <w:t>施工单位应当按照房屋结构改造安全行政许可决定实施改造；房屋使用安全责任人或者房屋使用人不能提供房屋结构改造安全行政许可决定，施工单位不得施工。</w:t>
      </w:r>
    </w:p>
    <w:p>
      <w:pPr>
        <w:pStyle w:val="Normal"/>
        <w:ind w:endChars="0" w:end="0"/>
        <w:rPr/>
      </w:pPr>
      <w:r>
        <w:rPr>
          <w:rFonts w:hint="eastAsia" w:eastAsia="黑体;SimHei"/>
        </w:rPr>
        <w:t xml:space="preserve">第十八条  </w:t>
      </w:r>
      <w:r>
        <w:rPr>
          <w:rFonts w:hint="eastAsia"/>
        </w:rPr>
        <w:t>物业服务企业应当按照规定实施房屋装修登记制度。未委托物业服务企业实施物业管理的，居民委员会、村民委员会或者其他管理单位应当实施房屋装修登记制度。</w:t>
      </w:r>
    </w:p>
    <w:p>
      <w:pPr>
        <w:pStyle w:val="Normal"/>
        <w:ind w:endChars="0" w:end="0"/>
        <w:rPr>
          <w:rFonts w:hint="eastAsia"/>
        </w:rPr>
      </w:pPr>
      <w:r>
        <w:rPr>
          <w:rFonts w:hint="eastAsia"/>
        </w:rPr>
        <w:t>物业服务企业、居民委员会、村民委员会或者其他管理单位应当将房屋装修改造中的禁止行为和注意事项告知房屋使用安全责任人和房屋使用人。</w:t>
      </w:r>
    </w:p>
    <w:p>
      <w:pPr>
        <w:pStyle w:val="Normal"/>
        <w:ind w:endChars="0" w:end="0"/>
        <w:rPr/>
      </w:pPr>
      <w:r>
        <w:rPr>
          <w:rFonts w:hint="eastAsia"/>
        </w:rPr>
        <w:t>房屋</w:t>
      </w:r>
      <w:r>
        <w:rPr>
          <w:rFonts w:hint="eastAsia"/>
          <w:shd w:fill="FFFFFF" w:val="clear"/>
        </w:rPr>
        <w:t>使用安全责任人</w:t>
      </w:r>
      <w:r>
        <w:rPr>
          <w:rFonts w:hint="eastAsia"/>
        </w:rPr>
        <w:t>或者房屋使用人应当在房屋装修改造前将房屋结构改造安全行政许可决定报送物业服务企业、居民委员会、村民委员会或者其他管理单位。</w:t>
      </w:r>
    </w:p>
    <w:p>
      <w:pPr>
        <w:pStyle w:val="Normal"/>
        <w:ind w:endChars="0" w:end="0"/>
        <w:rPr>
          <w:rFonts w:hint="eastAsia"/>
        </w:rPr>
      </w:pPr>
      <w:r>
        <w:rPr>
          <w:rFonts w:hint="eastAsia"/>
        </w:rPr>
        <w:t>物业服务企业、居民委员会、村民委员会或者其他管理单位应当加强对房屋装修改造现场的巡查，及时发现、劝阻危害房屋使用安全的行为；对劝阻无效或者安全危害已发生的情况，应当及时向房屋所在地的县级市（区）住房城乡建设部门报告。</w:t>
      </w:r>
    </w:p>
    <w:p>
      <w:pPr>
        <w:pStyle w:val="Normal"/>
        <w:ind w:endChars="0" w:end="0"/>
        <w:rPr/>
      </w:pPr>
      <w:r>
        <w:rPr>
          <w:rFonts w:hint="eastAsia" w:eastAsia="黑体;SimHei"/>
        </w:rPr>
        <w:t xml:space="preserve">第十九条  </w:t>
      </w:r>
      <w:r>
        <w:rPr>
          <w:rFonts w:hint="eastAsia"/>
        </w:rPr>
        <w:t>新建房屋交付使用时，建设单位应当将房屋质量保证书、使用说明书中的主要承重构件、抗震防火结构、设计使用年限、楼（屋）面最大荷载等事项和白蚁预防质量保证、建筑幕墙使用维护说明、外墙外保温系统保护说明等信息予以书面告知。</w:t>
      </w:r>
    </w:p>
    <w:p>
      <w:pPr>
        <w:pStyle w:val="Normal"/>
        <w:ind w:endChars="0" w:end="0"/>
        <w:rPr>
          <w:rFonts w:hint="eastAsia"/>
        </w:rPr>
      </w:pPr>
      <w:r>
        <w:rPr>
          <w:rFonts w:hint="eastAsia"/>
        </w:rPr>
        <w:t>房屋使用安全责任人有权向城建档案机构、建设单位、物业服务企业查询房屋主要承重构件、设计使用年限、楼（屋）面最大荷载、房屋结构改造等事项和白蚁预防质量保证、建筑幕墙使用维护说明、外墙外保温系统保护说明等信息，有关单位和个人应当配合查询。</w:t>
      </w:r>
    </w:p>
    <w:p>
      <w:pPr>
        <w:pStyle w:val="Normal"/>
        <w:ind w:endChars="0" w:end="0"/>
        <w:rPr>
          <w:rFonts w:hint="eastAsia"/>
          <w:spacing w:val="-4"/>
        </w:rPr>
      </w:pPr>
      <w:r>
        <w:rPr>
          <w:rFonts w:hint="eastAsia"/>
          <w:spacing w:val="-4"/>
        </w:rPr>
        <w:t>房屋转让或者出租时，房屋所有权人应当将房屋结构改造、房屋安全鉴定和危险房屋治理情况等基本事项，在房屋买卖合同、租赁合同中注明或者以其他方式书面告知受让人或者承租人。</w:t>
      </w:r>
    </w:p>
    <w:p>
      <w:pPr>
        <w:pStyle w:val="Normal"/>
        <w:ind w:endChars="0" w:end="0"/>
        <w:rPr/>
      </w:pPr>
      <w:r>
        <w:rPr>
          <w:rFonts w:hint="eastAsia" w:eastAsia="黑体;SimHei"/>
        </w:rPr>
        <w:t xml:space="preserve">第二十条  </w:t>
      </w:r>
      <w:r>
        <w:rPr>
          <w:rFonts w:hint="eastAsia"/>
        </w:rPr>
        <w:t>新建、改建、扩建的各类房屋和依法申领建筑工程施工许可证的房屋装修工程，建设单位应当向白蚁防治管理机构申请白蚁预防。白蚁防治管理机构应当按照有关规定及时组织白蚁防治单位实施白蚁预防工作。</w:t>
      </w:r>
    </w:p>
    <w:p>
      <w:pPr>
        <w:pStyle w:val="Normal"/>
        <w:ind w:endChars="0" w:end="0"/>
        <w:rPr>
          <w:rFonts w:hint="eastAsia"/>
        </w:rPr>
      </w:pPr>
      <w:r>
        <w:rPr>
          <w:rFonts w:hint="eastAsia"/>
        </w:rPr>
        <w:t>建设单位在办理建筑工程施工许可和新建商品房预（销）售时，应当向住房城乡建设部门出具该项目实施白蚁预防相应的证明文件。</w:t>
      </w:r>
    </w:p>
    <w:p>
      <w:pPr>
        <w:pStyle w:val="Normal"/>
        <w:ind w:endChars="0" w:end="0"/>
        <w:rPr/>
      </w:pPr>
      <w:r>
        <w:rPr>
          <w:rFonts w:hint="eastAsia" w:eastAsia="黑体;SimHei"/>
        </w:rPr>
        <w:t xml:space="preserve">第二十一条  </w:t>
      </w:r>
      <w:r>
        <w:rPr>
          <w:rFonts w:hint="eastAsia"/>
        </w:rPr>
        <w:t>房屋使用安全责任人、使用人发现房屋蚁害的，应当及时向白蚁防治管理机构报治。白蚁防治管理机构应当组织白蚁防治单位实施白蚁灭治工作，房屋使用安全责任人、使用人应当予以配合。</w:t>
      </w:r>
    </w:p>
    <w:p>
      <w:pPr>
        <w:pStyle w:val="Normal"/>
        <w:ind w:endChars="0" w:end="0"/>
        <w:rPr/>
      </w:pPr>
      <w:r>
        <w:rPr>
          <w:rFonts w:hint="eastAsia" w:eastAsia="黑体;SimHei"/>
        </w:rPr>
        <w:t xml:space="preserve">第二十二条 </w:t>
      </w:r>
      <w:r>
        <w:rPr>
          <w:rFonts w:hint="eastAsia"/>
        </w:rPr>
        <w:t xml:space="preserve"> 白蚁防治管理机构应当建立白蚁防治监管网络和蚁害档案，及时向社会发布白蚁危害情况预报，定期进行白蚁危害检查并组织灭治。</w:t>
      </w:r>
    </w:p>
    <w:p>
      <w:pPr>
        <w:pStyle w:val="Normal"/>
        <w:ind w:endChars="0" w:end="0"/>
        <w:rPr>
          <w:rFonts w:hint="eastAsia"/>
        </w:rPr>
      </w:pPr>
      <w:r>
        <w:rPr>
          <w:rFonts w:hint="eastAsia"/>
        </w:rPr>
        <w:t>白蚁防治管理机构应当对白蚁防治单位的防治质量、技术规范、药物安全等进行监督管理，定期对白蚁防治单位进行检查。</w:t>
      </w:r>
    </w:p>
    <w:p>
      <w:pPr>
        <w:pStyle w:val="Normal"/>
        <w:ind w:endChars="0" w:end="0"/>
        <w:rPr/>
      </w:pPr>
      <w:r>
        <w:rPr>
          <w:rFonts w:hint="eastAsia" w:eastAsia="黑体;SimHei"/>
        </w:rPr>
        <w:t xml:space="preserve">第二十三条  </w:t>
      </w:r>
      <w:r>
        <w:rPr>
          <w:rFonts w:hint="eastAsia"/>
        </w:rPr>
        <w:t>白蚁预防的包治期限不得低于十五年，白蚁灭治包治期限不得低于两年。</w:t>
      </w:r>
    </w:p>
    <w:p>
      <w:pPr>
        <w:pStyle w:val="Normal"/>
        <w:ind w:endChars="0" w:end="0"/>
        <w:rPr>
          <w:rFonts w:hint="eastAsia"/>
        </w:rPr>
      </w:pPr>
      <w:r>
        <w:rPr>
          <w:rFonts w:hint="eastAsia"/>
        </w:rPr>
        <w:t>白蚁预防费和包治期内的复查复治、防治新技术新药物的推广应用以及白蚁危害突发事件处置等相关费用，由同级财政预算安排保障。</w:t>
      </w:r>
    </w:p>
    <w:p>
      <w:pPr>
        <w:pStyle w:val="Normal"/>
        <w:ind w:endChars="0" w:end="0"/>
        <w:rPr/>
      </w:pPr>
      <w:r>
        <w:rPr>
          <w:rFonts w:hint="eastAsia" w:eastAsia="黑体;SimHei"/>
        </w:rPr>
        <w:t xml:space="preserve">第二十四条  </w:t>
      </w:r>
      <w:r>
        <w:rPr>
          <w:rFonts w:hint="eastAsia"/>
        </w:rPr>
        <w:t>使用建筑幕墙或者外墙外保温系统的房屋，房屋使用安全责任人应当加强对建筑幕墙或者外墙外保温系统的安全检查和维修、养护，发现建筑幕墙或者外墙外保温系统存在破损、脱落等安全隐患的，应当采取相应防护措施。</w:t>
      </w:r>
    </w:p>
    <w:p>
      <w:pPr>
        <w:pStyle w:val="Normal"/>
        <w:ind w:endChars="0" w:end="0"/>
        <w:rPr/>
      </w:pPr>
      <w:r>
        <w:rPr>
          <w:rFonts w:hint="eastAsia" w:eastAsia="黑体;SimHei"/>
        </w:rPr>
        <w:t xml:space="preserve">第二十五条  </w:t>
      </w:r>
      <w:r>
        <w:rPr>
          <w:rFonts w:hint="eastAsia"/>
        </w:rPr>
        <w:t>县级市（区）住房城乡建设部门行使下列房屋使用安全监督职权，有关单位和个人应当配合：</w:t>
      </w:r>
    </w:p>
    <w:p>
      <w:pPr>
        <w:pStyle w:val="Normal"/>
        <w:ind w:endChars="0" w:end="0"/>
        <w:rPr>
          <w:rFonts w:hint="eastAsia"/>
        </w:rPr>
      </w:pPr>
      <w:r>
        <w:rPr>
          <w:rFonts w:hint="eastAsia"/>
        </w:rPr>
        <w:t xml:space="preserve">（一）检查、查处危害房屋使用安全行为时，可以勘查现场，调阅有关资料，向有关单位和人员了解情况； </w:t>
      </w:r>
    </w:p>
    <w:p>
      <w:pPr>
        <w:pStyle w:val="Normal"/>
        <w:ind w:endChars="0" w:end="0"/>
        <w:rPr>
          <w:rFonts w:hint="eastAsia"/>
        </w:rPr>
      </w:pPr>
      <w:r>
        <w:rPr>
          <w:rFonts w:hint="eastAsia"/>
        </w:rPr>
        <w:t>（二）接到危害房屋使用安全行为的投诉、举报时，应当及时到现场进行调查，制止正在实施的违法行为；</w:t>
      </w:r>
    </w:p>
    <w:p>
      <w:pPr>
        <w:pStyle w:val="Normal"/>
        <w:ind w:endChars="0" w:end="0"/>
        <w:rPr>
          <w:rFonts w:hint="eastAsia"/>
        </w:rPr>
      </w:pPr>
      <w:r>
        <w:rPr>
          <w:rFonts w:hint="eastAsia"/>
        </w:rPr>
        <w:t>（三）发现房屋存在危险情形且影响公共安全的，立即采取措施排除险情。</w:t>
      </w:r>
    </w:p>
    <w:p>
      <w:pPr>
        <w:pStyle w:val="Normal"/>
        <w:ind w:endChars="0" w:end="0"/>
        <w:rPr/>
      </w:pPr>
      <w:r>
        <w:rPr>
          <w:rFonts w:hint="eastAsia" w:eastAsia="黑体;SimHei"/>
        </w:rPr>
        <w:t xml:space="preserve">第二十六条  </w:t>
      </w:r>
      <w:r>
        <w:rPr>
          <w:rFonts w:hint="eastAsia"/>
        </w:rPr>
        <w:t>市住房城乡建设部门应当建立房屋使用安全信息管理系统。房屋使用安全信息管理系统与各相关行政许可机关的行政许可信息系统互联互通，实现信息共享。</w:t>
      </w:r>
    </w:p>
    <w:p>
      <w:pPr>
        <w:pStyle w:val="Normal"/>
        <w:ind w:endChars="0" w:end="0"/>
        <w:rPr/>
      </w:pPr>
      <w:r>
        <w:rPr>
          <w:rFonts w:hint="eastAsia" w:eastAsia="黑体;SimHei"/>
        </w:rPr>
        <w:t xml:space="preserve">第二十七条  </w:t>
      </w:r>
      <w:r>
        <w:rPr>
          <w:rFonts w:hint="eastAsia"/>
        </w:rPr>
        <w:t>市、县级市（区）住房城乡建设部门应当建立房屋使用安全普查制度，将普查情况录入房屋使用安全信息管理系统。</w:t>
      </w:r>
    </w:p>
    <w:p>
      <w:pPr>
        <w:pStyle w:val="Normal"/>
        <w:ind w:endChars="0" w:end="0"/>
        <w:rPr>
          <w:rFonts w:hint="eastAsia"/>
        </w:rPr>
      </w:pPr>
      <w:r>
        <w:rPr>
          <w:rFonts w:hint="eastAsia"/>
        </w:rPr>
        <w:t>县级市（区）住房城乡建设部门应当将房屋使用安全监督检查情况和违反本条例规定的行为信息录入房屋使用安全信息管理系统。</w:t>
      </w:r>
    </w:p>
    <w:p>
      <w:pPr>
        <w:pStyle w:val="Normal"/>
        <w:ind w:endChars="0" w:end="0"/>
        <w:rPr>
          <w:rFonts w:hint="eastAsia"/>
        </w:rPr>
      </w:pPr>
      <w:r>
        <w:rPr>
          <w:rFonts w:hint="eastAsia"/>
        </w:rPr>
      </w:r>
    </w:p>
    <w:p>
      <w:pPr>
        <w:pStyle w:val="Normal"/>
        <w:ind w:firstLineChars="0" w:firstLine="0" w:endChars="0" w:end="0"/>
        <w:jc w:val="center"/>
        <w:rPr/>
      </w:pPr>
      <w:r>
        <w:rPr>
          <w:rFonts w:hint="eastAsia" w:eastAsia="黑体;SimHei"/>
        </w:rPr>
        <w:t xml:space="preserve">第四章 </w:t>
      </w:r>
      <w:r>
        <w:rPr>
          <w:rFonts w:hint="eastAsia"/>
        </w:rPr>
        <w:t xml:space="preserve"> </w:t>
      </w:r>
      <w:r>
        <w:rPr>
          <w:rFonts w:hint="eastAsia" w:eastAsia="黑体;SimHei"/>
        </w:rPr>
        <w:t>房屋安全鉴定</w:t>
      </w:r>
    </w:p>
    <w:p>
      <w:pPr>
        <w:pStyle w:val="Normal"/>
        <w:ind w:endChars="0" w:end="0"/>
        <w:rPr>
          <w:rFonts w:eastAsia="黑体;SimHei" w:hint="eastAsia"/>
        </w:rPr>
      </w:pPr>
      <w:r>
        <w:rPr>
          <w:rFonts w:eastAsia="黑体;SimHei" w:hint="eastAsia"/>
        </w:rPr>
      </w:r>
    </w:p>
    <w:p>
      <w:pPr>
        <w:pStyle w:val="Normal"/>
        <w:ind w:endChars="0" w:end="0"/>
        <w:rPr/>
      </w:pPr>
      <w:r>
        <w:rPr>
          <w:rFonts w:hint="eastAsia" w:eastAsia="黑体;SimHei"/>
        </w:rPr>
        <w:t xml:space="preserve">第二十八条 </w:t>
      </w:r>
      <w:r>
        <w:rPr>
          <w:rFonts w:hint="eastAsia"/>
        </w:rPr>
        <w:t xml:space="preserve"> 房屋安全鉴定，由依法设立的房屋安全鉴定机构负责。</w:t>
      </w:r>
    </w:p>
    <w:p>
      <w:pPr>
        <w:pStyle w:val="Normal"/>
        <w:ind w:endChars="0" w:end="0"/>
        <w:rPr>
          <w:rFonts w:hint="eastAsia"/>
        </w:rPr>
      </w:pPr>
      <w:r>
        <w:rPr>
          <w:rFonts w:hint="eastAsia"/>
        </w:rPr>
        <w:t>市、县级市（区）住房城乡建设部门应当根据国家和省有关规定，通过建立健全房屋安全鉴定机构诚信体系建设、完善行业准入和退出机制等方式，加强房屋安全鉴定机构的管理，推进房屋安全鉴定工作市场化。</w:t>
      </w:r>
    </w:p>
    <w:p>
      <w:pPr>
        <w:pStyle w:val="Normal"/>
        <w:ind w:endChars="0" w:end="0"/>
        <w:rPr/>
      </w:pPr>
      <w:r>
        <w:rPr>
          <w:rFonts w:hint="eastAsia" w:eastAsia="黑体;SimHei"/>
        </w:rPr>
        <w:t xml:space="preserve">第二十九条  </w:t>
      </w:r>
      <w:r>
        <w:rPr>
          <w:rFonts w:hint="eastAsia"/>
        </w:rPr>
        <w:t>有下列情形之一的，应当委托房屋安全鉴定机构进行房屋安全鉴定：</w:t>
      </w:r>
    </w:p>
    <w:p>
      <w:pPr>
        <w:pStyle w:val="Normal"/>
        <w:ind w:endChars="0" w:end="0"/>
        <w:rPr>
          <w:rFonts w:hint="eastAsia"/>
        </w:rPr>
      </w:pPr>
      <w:r>
        <w:rPr>
          <w:rFonts w:hint="eastAsia"/>
        </w:rPr>
        <w:t>（一）超过房屋设计使用年限，需要继续使用的；</w:t>
      </w:r>
    </w:p>
    <w:p>
      <w:pPr>
        <w:pStyle w:val="Normal"/>
        <w:ind w:endChars="0" w:end="0"/>
        <w:rPr>
          <w:rFonts w:hint="eastAsia"/>
        </w:rPr>
      </w:pPr>
      <w:r>
        <w:rPr>
          <w:rFonts w:hint="eastAsia"/>
        </w:rPr>
        <w:t>（二）遭受地面沉陷、地震、台风、洪涝等重大自然灾害损坏，或者因火灾、爆炸等事故造成一定区域内房屋受损，需要继续使用的；</w:t>
      </w:r>
    </w:p>
    <w:p>
      <w:pPr>
        <w:pStyle w:val="Normal"/>
        <w:ind w:endChars="0" w:end="0"/>
        <w:rPr>
          <w:rFonts w:hint="eastAsia"/>
        </w:rPr>
      </w:pPr>
      <w:r>
        <w:rPr>
          <w:rFonts w:hint="eastAsia"/>
        </w:rPr>
        <w:t>（三）无建设工程质量监督手续已投入使用，未确定其安全性的；</w:t>
      </w:r>
    </w:p>
    <w:p>
      <w:pPr>
        <w:pStyle w:val="Normal"/>
        <w:ind w:endChars="0" w:end="0"/>
        <w:rPr>
          <w:rFonts w:hint="eastAsia"/>
        </w:rPr>
      </w:pPr>
      <w:r>
        <w:rPr>
          <w:rFonts w:hint="eastAsia"/>
        </w:rPr>
        <w:t>（四）在房屋上增设大型广告牌、水箱、水池、铁塔、花园、游泳池等设施设备的；</w:t>
      </w:r>
    </w:p>
    <w:p>
      <w:pPr>
        <w:pStyle w:val="Normal"/>
        <w:ind w:endChars="0" w:end="0"/>
        <w:rPr>
          <w:rFonts w:hint="eastAsia"/>
        </w:rPr>
      </w:pPr>
      <w:r>
        <w:rPr>
          <w:rFonts w:hint="eastAsia"/>
        </w:rPr>
        <w:t>（五）因施工、堆物、撞击等行为，导致房屋出现裂缝、变形、不均匀沉降等现象，需要继续使用的；</w:t>
      </w:r>
    </w:p>
    <w:p>
      <w:pPr>
        <w:pStyle w:val="Normal"/>
        <w:ind w:endChars="0" w:end="0"/>
        <w:rPr>
          <w:rFonts w:hint="eastAsia"/>
        </w:rPr>
      </w:pPr>
      <w:r>
        <w:rPr>
          <w:rFonts w:hint="eastAsia"/>
        </w:rPr>
        <w:t>（六）公共场所房屋超过房屋设计使用年限一半或者改变原设计用途影响公共安全，并且五年内未作房屋安全鉴定的；</w:t>
      </w:r>
    </w:p>
    <w:p>
      <w:pPr>
        <w:pStyle w:val="Normal"/>
        <w:ind w:endChars="0" w:end="0"/>
        <w:rPr>
          <w:rFonts w:hint="eastAsia"/>
        </w:rPr>
      </w:pPr>
      <w:r>
        <w:rPr>
          <w:rFonts w:hint="eastAsia"/>
        </w:rPr>
        <w:t>（七）在农村宅基地上自建的房屋用于出租、改变用途，并且涉及公共安全的；</w:t>
      </w:r>
    </w:p>
    <w:p>
      <w:pPr>
        <w:pStyle w:val="Normal"/>
        <w:ind w:endChars="0" w:end="0"/>
        <w:rPr>
          <w:rFonts w:hint="eastAsia"/>
        </w:rPr>
      </w:pPr>
      <w:r>
        <w:rPr>
          <w:rFonts w:hint="eastAsia"/>
        </w:rPr>
        <w:t>（八）其他依法应当进行房屋安全鉴定的。</w:t>
      </w:r>
    </w:p>
    <w:p>
      <w:pPr>
        <w:pStyle w:val="Normal"/>
        <w:ind w:endChars="0" w:end="0"/>
        <w:rPr>
          <w:rFonts w:hint="eastAsia"/>
        </w:rPr>
      </w:pPr>
      <w:r>
        <w:rPr>
          <w:rFonts w:hint="eastAsia"/>
        </w:rPr>
        <w:t>前款规定的房屋安全鉴定，应当整体委托鉴定。其中，第二项的鉴定由房屋所在地的镇人民政府、街道办事处委托；第四项、第五项的鉴定由行为实施人委托；其他项的鉴定，由房屋使用安全责任人委托。</w:t>
      </w:r>
    </w:p>
    <w:p>
      <w:pPr>
        <w:pStyle w:val="Normal"/>
        <w:ind w:endChars="0" w:end="0"/>
        <w:rPr>
          <w:rFonts w:hint="eastAsia"/>
        </w:rPr>
      </w:pPr>
      <w:r>
        <w:rPr>
          <w:rFonts w:hint="eastAsia"/>
        </w:rPr>
        <w:t>房屋所在地的镇人民政府、街道办事处发现房屋存在应当委托鉴定情形的，应当及时通知房屋使用安全责任人或者相关责任人委托鉴定。紧急情况下，镇人民政府、街道办事处应当主动协助房屋使用安全责任人或者相关责任人委托鉴定。</w:t>
      </w:r>
    </w:p>
    <w:p>
      <w:pPr>
        <w:pStyle w:val="Normal"/>
        <w:ind w:endChars="0" w:end="0"/>
        <w:rPr>
          <w:rFonts w:hint="eastAsia"/>
        </w:rPr>
      </w:pPr>
      <w:r>
        <w:rPr>
          <w:rFonts w:hint="eastAsia"/>
        </w:rPr>
        <w:t>有本条第一款规定情形的房屋办理交易过户，或者办理特种行业、娱乐场所、电影院、消防、户外广告设置、大型群众性活动等行政许可事项时，有关部门应当书面告知申请人委托房屋安全鉴定。</w:t>
      </w:r>
    </w:p>
    <w:p>
      <w:pPr>
        <w:pStyle w:val="Normal"/>
        <w:ind w:endChars="0" w:end="0"/>
        <w:rPr/>
      </w:pPr>
      <w:r>
        <w:rPr>
          <w:rFonts w:hint="eastAsia" w:eastAsia="黑体;SimHei"/>
        </w:rPr>
        <w:t>第三十条</w:t>
      </w:r>
      <w:r>
        <w:rPr>
          <w:rFonts w:hint="eastAsia"/>
        </w:rPr>
        <w:t xml:space="preserve">  建筑幕墙或者外墙外保温系统出现下列情形之一时，房屋使用安全责任人应当委托房屋安全鉴定机构进行安全鉴定：</w:t>
      </w:r>
    </w:p>
    <w:p>
      <w:pPr>
        <w:pStyle w:val="Normal"/>
        <w:ind w:endChars="0" w:end="0"/>
        <w:rPr/>
      </w:pPr>
      <w:r>
        <w:rPr>
          <w:rFonts w:hint="eastAsia"/>
        </w:rPr>
        <w:t>（一）</w:t>
      </w:r>
      <w:r>
        <w:rPr>
          <w:rFonts w:hint="eastAsia"/>
          <w:shd w:fill="FFFFFF" w:val="clear"/>
        </w:rPr>
        <w:t>自竣工验收合格之日起，</w:t>
      </w:r>
      <w:r>
        <w:rPr>
          <w:rFonts w:hint="eastAsia"/>
        </w:rPr>
        <w:t>每使用十年的；</w:t>
      </w:r>
    </w:p>
    <w:p>
      <w:pPr>
        <w:pStyle w:val="Normal"/>
        <w:ind w:endChars="0" w:end="0"/>
        <w:rPr>
          <w:rFonts w:hint="eastAsia"/>
        </w:rPr>
      </w:pPr>
      <w:r>
        <w:rPr>
          <w:rFonts w:hint="eastAsia"/>
        </w:rPr>
        <w:t>（二）建筑幕墙面板、连接构件或者局部墙面等出现异常变形、脱落、爆裂等现象的；</w:t>
      </w:r>
    </w:p>
    <w:p>
      <w:pPr>
        <w:pStyle w:val="Normal"/>
        <w:ind w:endChars="0" w:end="0"/>
        <w:rPr>
          <w:rFonts w:hint="eastAsia"/>
        </w:rPr>
      </w:pPr>
      <w:r>
        <w:rPr>
          <w:rFonts w:hint="eastAsia"/>
        </w:rPr>
        <w:t>（三）外墙外保温系统出现异常外凸、开裂、脱落等现象的；</w:t>
      </w:r>
    </w:p>
    <w:p>
      <w:pPr>
        <w:pStyle w:val="Normal"/>
        <w:ind w:endChars="0" w:end="0"/>
        <w:rPr>
          <w:rFonts w:hint="eastAsia"/>
        </w:rPr>
      </w:pPr>
      <w:r>
        <w:rPr>
          <w:rFonts w:hint="eastAsia"/>
        </w:rPr>
        <w:t>（四）遭受自然灾害等突发事件造成损坏的；</w:t>
      </w:r>
    </w:p>
    <w:p>
      <w:pPr>
        <w:pStyle w:val="Normal"/>
        <w:ind w:endChars="0" w:end="0"/>
        <w:rPr>
          <w:rFonts w:hint="eastAsia"/>
        </w:rPr>
      </w:pPr>
      <w:r>
        <w:rPr>
          <w:rFonts w:hint="eastAsia"/>
        </w:rPr>
        <w:t>（五）相关房屋主体结构经鉴定存在安全隐患的；</w:t>
      </w:r>
    </w:p>
    <w:p>
      <w:pPr>
        <w:pStyle w:val="Normal"/>
        <w:ind w:endChars="0" w:end="0"/>
        <w:rPr>
          <w:rFonts w:hint="eastAsia"/>
        </w:rPr>
      </w:pPr>
      <w:r>
        <w:rPr>
          <w:rFonts w:hint="eastAsia"/>
        </w:rPr>
        <w:t>（六）其他依法应当进行安全鉴定的。</w:t>
      </w:r>
    </w:p>
    <w:p>
      <w:pPr>
        <w:pStyle w:val="Normal"/>
        <w:ind w:endChars="0" w:end="0"/>
        <w:rPr/>
      </w:pPr>
      <w:r>
        <w:rPr>
          <w:rFonts w:hint="eastAsia" w:eastAsia="黑体;SimHei"/>
        </w:rPr>
        <w:t>第三十一条</w:t>
      </w:r>
      <w:r>
        <w:rPr>
          <w:rFonts w:hint="eastAsia" w:eastAsia="楷体_GB2312"/>
        </w:rPr>
        <w:t xml:space="preserve">  </w:t>
      </w:r>
      <w:r>
        <w:rPr>
          <w:rFonts w:hint="eastAsia"/>
        </w:rPr>
        <w:t>建设单位应当在工程建设开工前，对下列施工区周边范围内的房屋进行安全检查并保存原始记录；施工期间，建设单位应当委托有资质的单位进行跟踪监测，并按照规定采取安全防护措施：</w:t>
      </w:r>
    </w:p>
    <w:p>
      <w:pPr>
        <w:pStyle w:val="Normal"/>
        <w:ind w:endChars="0" w:end="0"/>
        <w:rPr>
          <w:rFonts w:hint="eastAsia"/>
        </w:rPr>
      </w:pPr>
      <w:r>
        <w:rPr>
          <w:rFonts w:hint="eastAsia"/>
        </w:rPr>
        <w:t>（一）挤土桩施工，距最近桩基一倍桩身长度范围内的房屋；</w:t>
      </w:r>
    </w:p>
    <w:p>
      <w:pPr>
        <w:pStyle w:val="Normal"/>
        <w:ind w:endChars="0" w:end="0"/>
        <w:rPr>
          <w:rFonts w:hint="eastAsia"/>
        </w:rPr>
      </w:pPr>
      <w:r>
        <w:rPr>
          <w:rFonts w:hint="eastAsia"/>
        </w:rPr>
        <w:t>（二）开挖深度为三米以上的基坑，距基坑边一至三倍基坑深度范围内的房屋；</w:t>
      </w:r>
    </w:p>
    <w:p>
      <w:pPr>
        <w:pStyle w:val="Normal"/>
        <w:ind w:endChars="0" w:end="0"/>
        <w:rPr>
          <w:rFonts w:hint="eastAsia"/>
        </w:rPr>
      </w:pPr>
      <w:r>
        <w:rPr>
          <w:rFonts w:hint="eastAsia"/>
        </w:rPr>
        <w:t>（三）地下隧道、盾构施工，距洞口边缘二倍埋深范围内的房屋；</w:t>
      </w:r>
    </w:p>
    <w:p>
      <w:pPr>
        <w:pStyle w:val="Normal"/>
        <w:ind w:endChars="0" w:end="0"/>
        <w:rPr>
          <w:rFonts w:hint="eastAsia"/>
        </w:rPr>
      </w:pPr>
      <w:r>
        <w:rPr>
          <w:rFonts w:hint="eastAsia"/>
        </w:rPr>
        <w:t>（四）爆破施工中处于爆破安全距离范围内的房屋；</w:t>
      </w:r>
    </w:p>
    <w:p>
      <w:pPr>
        <w:pStyle w:val="Normal"/>
        <w:ind w:endChars="0" w:end="0"/>
        <w:rPr>
          <w:rFonts w:hint="eastAsia"/>
        </w:rPr>
      </w:pPr>
      <w:r>
        <w:rPr>
          <w:rFonts w:hint="eastAsia"/>
        </w:rPr>
        <w:t>（五）地下管线、降低地下水位等其他工程施工中处于设计影响范围内的房屋；</w:t>
      </w:r>
    </w:p>
    <w:p>
      <w:pPr>
        <w:pStyle w:val="Normal"/>
        <w:ind w:endChars="0" w:end="0"/>
        <w:rPr>
          <w:rFonts w:eastAsia="黑体;SimHei"/>
        </w:rPr>
      </w:pPr>
      <w:r>
        <w:rPr>
          <w:rFonts w:hint="eastAsia"/>
        </w:rPr>
        <w:t>（六）法律、法规或者国家、省标准规定的其他建设工程施工区周边范围内的房屋。</w:t>
      </w:r>
    </w:p>
    <w:p>
      <w:pPr>
        <w:pStyle w:val="Normal"/>
        <w:ind w:endChars="0" w:end="0"/>
        <w:rPr>
          <w:rFonts w:hint="eastAsia"/>
        </w:rPr>
      </w:pPr>
      <w:r>
        <w:rPr>
          <w:rFonts w:hint="eastAsia"/>
        </w:rPr>
        <w:t>对受到工程建设影响出现裂缝、变形、不均匀沉降等异常现象的房屋，房屋所有权人、使用人要求房屋安全鉴定的，建设单位应当委托房屋安全鉴定。</w:t>
      </w:r>
    </w:p>
    <w:p>
      <w:pPr>
        <w:pStyle w:val="Normal"/>
        <w:ind w:endChars="0" w:end="0"/>
        <w:rPr>
          <w:rFonts w:hint="eastAsia"/>
        </w:rPr>
      </w:pPr>
      <w:r>
        <w:rPr>
          <w:rFonts w:hint="eastAsia"/>
        </w:rPr>
        <w:t>因工程建设造成房屋损坏的，建设单位应当承担治理修复、赔偿等民事责任。</w:t>
      </w:r>
    </w:p>
    <w:p>
      <w:pPr>
        <w:pStyle w:val="Normal"/>
        <w:ind w:endChars="0" w:end="0"/>
        <w:rPr/>
      </w:pPr>
      <w:r>
        <w:rPr>
          <w:rFonts w:hint="eastAsia" w:eastAsia="黑体;SimHei"/>
        </w:rPr>
        <w:t xml:space="preserve">第三十二条  </w:t>
      </w:r>
      <w:r>
        <w:rPr>
          <w:rFonts w:hint="eastAsia"/>
        </w:rPr>
        <w:t>房屋安全鉴定机构应当与委托人签订房屋安全鉴定协议，并在协议约定的时间内出具鉴定文书。没有约定或者约定不明确的，应当在接受委托之日起二十个工作日内出具鉴定文书。</w:t>
      </w:r>
    </w:p>
    <w:p>
      <w:pPr>
        <w:pStyle w:val="Normal"/>
        <w:ind w:endChars="0" w:end="0"/>
        <w:rPr>
          <w:rFonts w:hint="eastAsia"/>
        </w:rPr>
      </w:pPr>
      <w:r>
        <w:rPr>
          <w:rFonts w:hint="eastAsia"/>
        </w:rPr>
        <w:t>房屋安全鉴定的程序、方法和鉴定文书的制作，应当符合国家、行业的标准和规范，客观、真实反映房屋安全状况。</w:t>
      </w:r>
    </w:p>
    <w:p>
      <w:pPr>
        <w:pStyle w:val="Normal"/>
        <w:ind w:endChars="0" w:end="0"/>
        <w:rPr>
          <w:rFonts w:hint="eastAsia"/>
        </w:rPr>
      </w:pPr>
      <w:r>
        <w:rPr>
          <w:rFonts w:hint="eastAsia"/>
        </w:rPr>
        <w:t>房屋安全鉴定机构出具的鉴定文书，是认定房屋安全状况的依据。</w:t>
      </w:r>
    </w:p>
    <w:p>
      <w:pPr>
        <w:pStyle w:val="Normal"/>
        <w:ind w:endChars="0" w:end="0"/>
        <w:rPr>
          <w:rFonts w:hint="eastAsia"/>
        </w:rPr>
      </w:pPr>
      <w:r>
        <w:rPr>
          <w:rFonts w:hint="eastAsia"/>
        </w:rPr>
        <w:t>房屋安全鉴定机构及其鉴定人员对其出具的鉴定文书负责。</w:t>
      </w:r>
    </w:p>
    <w:p>
      <w:pPr>
        <w:pStyle w:val="Normal"/>
        <w:ind w:endChars="0" w:end="0"/>
        <w:rPr/>
      </w:pPr>
      <w:r>
        <w:rPr>
          <w:rFonts w:hint="eastAsia"/>
        </w:rPr>
        <w:t>经鉴定为危险房屋的，房屋安全鉴定机构应当</w:t>
      </w:r>
      <w:r>
        <w:rPr>
          <w:rFonts w:hint="eastAsia"/>
          <w:shd w:fill="FFFFFF" w:val="clear"/>
        </w:rPr>
        <w:t>在向</w:t>
      </w:r>
      <w:r>
        <w:rPr>
          <w:rFonts w:hint="eastAsia"/>
        </w:rPr>
        <w:t>委托人出具危险房屋鉴定文书的同时报告县级市（区）住房城乡建设部门。</w:t>
      </w:r>
    </w:p>
    <w:p>
      <w:pPr>
        <w:pStyle w:val="Normal"/>
        <w:ind w:endChars="0" w:end="0"/>
        <w:rPr>
          <w:rFonts w:eastAsia="黑体;SimHei" w:hint="eastAsia"/>
        </w:rPr>
      </w:pPr>
      <w:r>
        <w:rPr>
          <w:rFonts w:eastAsia="黑体;SimHei" w:hint="eastAsia"/>
        </w:rPr>
      </w:r>
    </w:p>
    <w:p>
      <w:pPr>
        <w:pStyle w:val="Normal"/>
        <w:ind w:firstLineChars="0" w:firstLine="0" w:endChars="0" w:end="0"/>
        <w:jc w:val="center"/>
        <w:rPr>
          <w:rFonts w:eastAsia="黑体;SimHei" w:hint="eastAsia"/>
        </w:rPr>
      </w:pPr>
      <w:r>
        <w:rPr>
          <w:rFonts w:hint="eastAsia" w:eastAsia="黑体;SimHei"/>
        </w:rPr>
        <w:t>第五章  危险房屋治理和应急处置</w:t>
      </w:r>
    </w:p>
    <w:p>
      <w:pPr>
        <w:pStyle w:val="Normal"/>
        <w:ind w:endChars="0" w:end="0"/>
        <w:rPr>
          <w:rFonts w:eastAsia="黑体;SimHei" w:hint="eastAsia"/>
        </w:rPr>
      </w:pPr>
      <w:r>
        <w:rPr>
          <w:rFonts w:eastAsia="黑体;SimHei" w:hint="eastAsia"/>
        </w:rPr>
      </w:r>
    </w:p>
    <w:p>
      <w:pPr>
        <w:pStyle w:val="Normal"/>
        <w:ind w:endChars="0" w:end="0"/>
        <w:rPr/>
      </w:pPr>
      <w:r>
        <w:rPr>
          <w:rFonts w:hint="eastAsia" w:eastAsia="黑体;SimHei"/>
        </w:rPr>
        <w:t xml:space="preserve">第三十三条  </w:t>
      </w:r>
      <w:r>
        <w:rPr>
          <w:rFonts w:hint="eastAsia"/>
        </w:rPr>
        <w:t>经房屋安全鉴定机构鉴定为危险房屋的，应当按照下列规定进行治理：</w:t>
      </w:r>
    </w:p>
    <w:p>
      <w:pPr>
        <w:pStyle w:val="Normal"/>
        <w:ind w:endChars="0" w:end="0"/>
        <w:rPr>
          <w:rFonts w:hint="eastAsia"/>
        </w:rPr>
      </w:pPr>
      <w:r>
        <w:rPr>
          <w:rFonts w:hint="eastAsia"/>
        </w:rPr>
        <w:t>（一）处理使用，适用于采取适当安全技术措施可以解除危险的房屋</w:t>
      </w:r>
      <w:r>
        <w:rPr>
          <w:rFonts w:hint="eastAsia"/>
        </w:rPr>
        <w:t>;</w:t>
      </w:r>
    </w:p>
    <w:p>
      <w:pPr>
        <w:pStyle w:val="Normal"/>
        <w:ind w:endChars="0" w:end="0"/>
        <w:rPr>
          <w:rFonts w:hint="eastAsia"/>
        </w:rPr>
      </w:pPr>
      <w:r>
        <w:rPr>
          <w:rFonts w:hint="eastAsia"/>
        </w:rPr>
        <w:t>（二）变更使用，适用于改变用途后能够安全使用的房屋</w:t>
      </w:r>
      <w:r>
        <w:rPr>
          <w:rFonts w:hint="eastAsia"/>
        </w:rPr>
        <w:t>;</w:t>
      </w:r>
    </w:p>
    <w:p>
      <w:pPr>
        <w:pStyle w:val="Normal"/>
        <w:ind w:endChars="0" w:end="0"/>
        <w:rPr>
          <w:rFonts w:hint="eastAsia"/>
        </w:rPr>
      </w:pPr>
      <w:r>
        <w:rPr>
          <w:rFonts w:hint="eastAsia"/>
        </w:rPr>
        <w:t>（三）观察使用，适用于采取适当安全技术措施尚能短期使用，但需继续观察的房屋</w:t>
      </w:r>
      <w:r>
        <w:rPr>
          <w:rFonts w:hint="eastAsia"/>
        </w:rPr>
        <w:t>;</w:t>
      </w:r>
    </w:p>
    <w:p>
      <w:pPr>
        <w:pStyle w:val="Normal"/>
        <w:ind w:endChars="0" w:end="0"/>
        <w:rPr>
          <w:rFonts w:hint="eastAsia"/>
        </w:rPr>
      </w:pPr>
      <w:r>
        <w:rPr>
          <w:rFonts w:hint="eastAsia"/>
        </w:rPr>
        <w:t>（四）停止使用，适用于已无修缮价值，暂时不便拆除，且不危及相邻建筑和影响他人安全的房屋</w:t>
      </w:r>
      <w:r>
        <w:rPr>
          <w:rFonts w:hint="eastAsia"/>
        </w:rPr>
        <w:t>;</w:t>
      </w:r>
    </w:p>
    <w:p>
      <w:pPr>
        <w:pStyle w:val="Normal"/>
        <w:ind w:endChars="0" w:end="0"/>
        <w:rPr>
          <w:rFonts w:hint="eastAsia"/>
        </w:rPr>
      </w:pPr>
      <w:r>
        <w:rPr>
          <w:rFonts w:hint="eastAsia"/>
        </w:rPr>
        <w:t>（五）整体拆除，适用于整幢危险且无修缮价值，需立即拆除的房屋。</w:t>
      </w:r>
    </w:p>
    <w:p>
      <w:pPr>
        <w:pStyle w:val="Normal"/>
        <w:ind w:endChars="0" w:end="0"/>
        <w:rPr>
          <w:rFonts w:hint="eastAsia"/>
        </w:rPr>
      </w:pPr>
      <w:r>
        <w:rPr>
          <w:rFonts w:hint="eastAsia"/>
        </w:rPr>
        <w:t>违法建筑被鉴定为危险房屋的，依照有关法律、法规的规定处置。</w:t>
      </w:r>
    </w:p>
    <w:p>
      <w:pPr>
        <w:pStyle w:val="Normal"/>
        <w:ind w:endChars="0" w:end="0"/>
        <w:rPr>
          <w:rFonts w:eastAsia="黑体;SimHei" w:hint="eastAsia"/>
        </w:rPr>
      </w:pPr>
      <w:r>
        <w:rPr>
          <w:rFonts w:hint="eastAsia" w:eastAsia="黑体;SimHei"/>
        </w:rPr>
        <w:t xml:space="preserve">第三十四条  </w:t>
      </w:r>
      <w:r>
        <w:rPr>
          <w:rFonts w:hint="eastAsia"/>
        </w:rPr>
        <w:t>经鉴定属于停止使用的危险房屋不得用于居住、出租或者作为生产经营场所。</w:t>
      </w:r>
    </w:p>
    <w:p>
      <w:pPr>
        <w:pStyle w:val="Normal"/>
        <w:ind w:endChars="0" w:end="0"/>
        <w:rPr/>
      </w:pPr>
      <w:r>
        <w:rPr>
          <w:rFonts w:hint="eastAsia" w:eastAsia="黑体;SimHei"/>
        </w:rPr>
        <w:t xml:space="preserve">第三十五条 </w:t>
      </w:r>
      <w:r>
        <w:rPr>
          <w:rFonts w:hint="eastAsia"/>
        </w:rPr>
        <w:t xml:space="preserve"> 县级市（区）住房城乡建设部门应当自收到危险房屋鉴定文书之日起三日内，向房屋使用安全责任人发出危险房屋治理通知，提出危险房屋处理意见，同时告知镇人民政府、街道办事处。房屋使用安全责任人与房屋使用人不一致的，房屋使用安全责任人应当将危险房屋治理通知的内容告知房屋使用人。</w:t>
      </w:r>
    </w:p>
    <w:p>
      <w:pPr>
        <w:pStyle w:val="Normal"/>
        <w:ind w:endChars="0" w:end="0"/>
        <w:rPr>
          <w:rFonts w:hint="eastAsia"/>
        </w:rPr>
      </w:pPr>
      <w:r>
        <w:rPr>
          <w:rFonts w:hint="eastAsia"/>
        </w:rPr>
        <w:t>镇人民政府、街道办事处应当督促房屋使用安全责任人按照危险房屋治理通知要求采取解危措施。房屋使用人、毗连危险房屋的房屋使用安全责任人，应当配合履行危险房屋治理的义务。</w:t>
      </w:r>
    </w:p>
    <w:p>
      <w:pPr>
        <w:pStyle w:val="Normal"/>
        <w:ind w:endChars="0" w:end="0"/>
        <w:rPr/>
      </w:pPr>
      <w:r>
        <w:rPr>
          <w:rFonts w:hint="eastAsia" w:eastAsia="黑体;SimHei"/>
        </w:rPr>
        <w:t xml:space="preserve">第三十六条 </w:t>
      </w:r>
      <w:r>
        <w:rPr>
          <w:rFonts w:hint="eastAsia"/>
        </w:rPr>
        <w:t xml:space="preserve"> 危险房屋解危费用由房屋使用安全责任人承担。涉及区分所有权房屋共有部分的费用，由房屋使用安全责任人按照各自专有部分建筑面积占房屋建筑总面积的比例分摊承担。</w:t>
      </w:r>
    </w:p>
    <w:p>
      <w:pPr>
        <w:pStyle w:val="Normal"/>
        <w:ind w:endChars="0" w:end="0"/>
        <w:rPr>
          <w:rFonts w:hint="eastAsia"/>
        </w:rPr>
      </w:pPr>
      <w:r>
        <w:rPr>
          <w:rFonts w:hint="eastAsia"/>
        </w:rPr>
        <w:t>对危险房屋采取大修、翻建等解危措施的，可以依法提取住房公积金。涉及房屋共用部位、共用设施设备的修缮费用，可以申请使用住宅专项维修资金。</w:t>
      </w:r>
    </w:p>
    <w:p>
      <w:pPr>
        <w:pStyle w:val="Normal"/>
        <w:ind w:endChars="0" w:end="0"/>
        <w:rPr/>
      </w:pPr>
      <w:r>
        <w:rPr>
          <w:rFonts w:hint="eastAsia" w:eastAsia="黑体;SimHei"/>
        </w:rPr>
        <w:t xml:space="preserve">第三十七条  </w:t>
      </w:r>
      <w:r>
        <w:rPr>
          <w:rFonts w:hint="eastAsia"/>
        </w:rPr>
        <w:t>房屋使用安全责任人拒绝、怠于采取措施治理危险房屋，或者房屋使用人拒不配合履行危险房屋治理义务的，造成房屋出现重大险情且危及公共安全的，县级市（区）人民政府应当组织住房城乡建设部门、镇人民政府、街道办事处采取必要措施排除险情。排除险情的费用，由县级市（区）住房城乡建设部门、镇人民政府、街道办事处向房屋使用安全责任人追偿。</w:t>
      </w:r>
    </w:p>
    <w:p>
      <w:pPr>
        <w:pStyle w:val="Normal"/>
        <w:ind w:endChars="0" w:end="0"/>
        <w:rPr>
          <w:rFonts w:hint="eastAsia"/>
        </w:rPr>
      </w:pPr>
      <w:r>
        <w:rPr>
          <w:rFonts w:hint="eastAsia"/>
        </w:rPr>
        <w:t>房屋使用安全责任人无力承担或者无法全部承担解危费用的，可以向房屋所在地的县级市（区）住房城乡建设部门提出解危救助申请。解危救助具体办法由市人民政府另行制定并向社会公布后实施。</w:t>
      </w:r>
    </w:p>
    <w:p>
      <w:pPr>
        <w:pStyle w:val="Normal"/>
        <w:ind w:endChars="0" w:end="0"/>
        <w:rPr>
          <w:rFonts w:hint="eastAsia"/>
          <w:u w:val="single"/>
        </w:rPr>
      </w:pPr>
      <w:r>
        <w:rPr>
          <w:rFonts w:hint="eastAsia" w:eastAsia="黑体;SimHei"/>
        </w:rPr>
        <w:t>第</w:t>
      </w:r>
      <w:r>
        <w:rPr>
          <w:rFonts w:hint="eastAsia" w:eastAsia="黑体;SimHei"/>
          <w:shd w:fill="FFFFFF" w:val="clear"/>
        </w:rPr>
        <w:t>三十八</w:t>
      </w:r>
      <w:r>
        <w:rPr>
          <w:rFonts w:hint="eastAsia" w:eastAsia="黑体;SimHei"/>
        </w:rPr>
        <w:t xml:space="preserve">条  </w:t>
      </w:r>
      <w:r>
        <w:rPr>
          <w:rFonts w:hint="eastAsia"/>
        </w:rPr>
        <w:t>市、县级市（区）人民政府应当建立房屋使用安全应急抢险救援组织体系，制定房屋使用安全管理突发事件应急抢险预案，储备抢险救援物资和装备器材。</w:t>
      </w:r>
    </w:p>
    <w:p>
      <w:pPr>
        <w:pStyle w:val="Normal"/>
        <w:ind w:endChars="0" w:end="0"/>
        <w:rPr/>
      </w:pPr>
      <w:r>
        <w:rPr>
          <w:rFonts w:hint="eastAsia" w:eastAsia="黑体;SimHei"/>
        </w:rPr>
        <w:t>第三十九条</w:t>
      </w:r>
      <w:r>
        <w:rPr>
          <w:rFonts w:hint="eastAsia"/>
        </w:rPr>
        <w:t xml:space="preserve">  县级市（区）住房城乡建设部门、镇人民政府、街道办事处应当对遭受地震、台风、洪涝等自然灾害和火灾、爆炸等事故的房屋进行应急检查。</w:t>
      </w:r>
    </w:p>
    <w:p>
      <w:pPr>
        <w:pStyle w:val="Normal"/>
        <w:ind w:endChars="0" w:end="0"/>
        <w:rPr>
          <w:rFonts w:hint="eastAsia"/>
        </w:rPr>
      </w:pPr>
      <w:r>
        <w:rPr>
          <w:rFonts w:hint="eastAsia"/>
        </w:rPr>
        <w:t>对在应急检查中发现房屋存在随时可能丧失结构稳定和承载能力、出现房屋坍塌等危险情形的，县级市（区）住房城乡建设部门、镇人民政府、街道办事处应当立即采取设置警示标志等安全防范措施，并报告县级市（区）人民政府；县级市（区）人民政府应当按照房屋使用安全管理突发事件应急抢险预案的相关规定，组织房屋使用人或者其他相关人员紧急撤离。</w:t>
      </w:r>
    </w:p>
    <w:p>
      <w:pPr>
        <w:pStyle w:val="Normal"/>
        <w:ind w:endChars="0" w:end="0"/>
        <w:rPr/>
      </w:pPr>
      <w:r>
        <w:rPr>
          <w:rFonts w:hint="eastAsia" w:eastAsia="黑体;SimHei"/>
        </w:rPr>
        <w:t>第四十条</w:t>
      </w:r>
      <w:r>
        <w:rPr>
          <w:rFonts w:hint="eastAsia"/>
        </w:rPr>
        <w:t xml:space="preserve">  县级市（区）人民政府对经鉴定为停止使用、整体拆除的危险房屋，可以采取下列房屋使用安全应急抢险措施，任何单位和个人不得阻挠： </w:t>
      </w:r>
    </w:p>
    <w:p>
      <w:pPr>
        <w:pStyle w:val="Normal"/>
        <w:ind w:endChars="0" w:end="0"/>
        <w:rPr>
          <w:rFonts w:hint="eastAsia"/>
        </w:rPr>
      </w:pPr>
      <w:r>
        <w:rPr>
          <w:rFonts w:hint="eastAsia"/>
        </w:rPr>
        <w:t>（一）控制水、电、燃气和燃料的供应；</w:t>
      </w:r>
    </w:p>
    <w:p>
      <w:pPr>
        <w:pStyle w:val="Normal"/>
        <w:ind w:endChars="0" w:end="0"/>
        <w:rPr>
          <w:rFonts w:hint="eastAsia"/>
        </w:rPr>
      </w:pPr>
      <w:r>
        <w:rPr>
          <w:rFonts w:hint="eastAsia"/>
        </w:rPr>
        <w:t>（二）划定警示区域；</w:t>
      </w:r>
    </w:p>
    <w:p>
      <w:pPr>
        <w:pStyle w:val="Normal"/>
        <w:ind w:endChars="0" w:end="0"/>
        <w:rPr>
          <w:rFonts w:hint="eastAsia"/>
        </w:rPr>
      </w:pPr>
      <w:r>
        <w:rPr>
          <w:rFonts w:hint="eastAsia"/>
        </w:rPr>
        <w:t>（三）利用或者破损相邻的建筑物和有关设施；</w:t>
      </w:r>
    </w:p>
    <w:p>
      <w:pPr>
        <w:pStyle w:val="Normal"/>
        <w:ind w:endChars="0" w:end="0"/>
        <w:rPr>
          <w:rFonts w:hint="eastAsia"/>
        </w:rPr>
      </w:pPr>
      <w:r>
        <w:rPr>
          <w:rFonts w:hint="eastAsia"/>
        </w:rPr>
        <w:t>（四）依法采取的其他措施。</w:t>
      </w:r>
    </w:p>
    <w:p>
      <w:pPr>
        <w:pStyle w:val="Normal"/>
        <w:ind w:endChars="0" w:end="0"/>
        <w:rPr>
          <w:rFonts w:hint="eastAsia"/>
        </w:rPr>
      </w:pPr>
      <w:r>
        <w:rPr>
          <w:rFonts w:hint="eastAsia"/>
        </w:rPr>
        <w:t>因应急处置损坏相邻建筑物和有关设施的，由房屋所在地的县级市（区）人民政府负责组织修复或者补偿。</w:t>
      </w:r>
    </w:p>
    <w:p>
      <w:pPr>
        <w:pStyle w:val="Normal"/>
        <w:ind w:endChars="0" w:end="0"/>
        <w:jc w:val="center"/>
        <w:rPr>
          <w:rFonts w:eastAsia="黑体;SimHei" w:hint="eastAsia"/>
        </w:rPr>
      </w:pPr>
      <w:r>
        <w:rPr>
          <w:rFonts w:eastAsia="黑体;SimHei" w:hint="eastAsia"/>
        </w:rPr>
      </w:r>
    </w:p>
    <w:p>
      <w:pPr>
        <w:pStyle w:val="Normal"/>
        <w:ind w:firstLineChars="0" w:firstLine="0" w:endChars="0" w:end="0"/>
        <w:jc w:val="center"/>
        <w:rPr>
          <w:rFonts w:eastAsia="黑体;SimHei" w:hint="eastAsia"/>
        </w:rPr>
      </w:pPr>
      <w:r>
        <w:rPr>
          <w:rFonts w:hint="eastAsia" w:eastAsia="黑体;SimHei"/>
        </w:rPr>
        <w:t>第六章  法律责任</w:t>
      </w:r>
    </w:p>
    <w:p>
      <w:pPr>
        <w:pStyle w:val="Normal"/>
        <w:ind w:endChars="0" w:end="0"/>
        <w:rPr>
          <w:rFonts w:eastAsia="黑体;SimHei" w:hint="eastAsia"/>
        </w:rPr>
      </w:pPr>
      <w:r>
        <w:rPr>
          <w:rFonts w:eastAsia="黑体;SimHei" w:hint="eastAsia"/>
        </w:rPr>
      </w:r>
    </w:p>
    <w:p>
      <w:pPr>
        <w:pStyle w:val="Normal"/>
        <w:ind w:endChars="0" w:end="0"/>
        <w:rPr/>
      </w:pPr>
      <w:r>
        <w:rPr>
          <w:rFonts w:hint="eastAsia" w:eastAsia="黑体;SimHei"/>
        </w:rPr>
        <w:t xml:space="preserve">第四十一条 </w:t>
      </w:r>
      <w:r>
        <w:rPr>
          <w:rFonts w:hint="eastAsia"/>
        </w:rPr>
        <w:t xml:space="preserve"> 违反本条例规定的行为，法律、法规已有处罚规定的，从其规定。</w:t>
      </w:r>
    </w:p>
    <w:p>
      <w:pPr>
        <w:pStyle w:val="Normal"/>
        <w:ind w:endChars="0" w:end="0"/>
        <w:rPr>
          <w:rFonts w:eastAsia="黑体;SimHei" w:hint="eastAsia"/>
        </w:rPr>
      </w:pPr>
      <w:r>
        <w:rPr>
          <w:rFonts w:hint="eastAsia" w:eastAsia="黑体;SimHei"/>
        </w:rPr>
        <w:t xml:space="preserve">第四十二条 </w:t>
      </w:r>
      <w:r>
        <w:rPr>
          <w:rFonts w:hint="eastAsia"/>
        </w:rPr>
        <w:t xml:space="preserve"> 违反本条例第十</w:t>
      </w:r>
      <w:r>
        <w:rPr>
          <w:rFonts w:hint="eastAsia"/>
          <w:shd w:fill="FFFFFF" w:val="clear"/>
        </w:rPr>
        <w:t>五</w:t>
      </w:r>
      <w:r>
        <w:rPr>
          <w:rFonts w:hint="eastAsia"/>
        </w:rPr>
        <w:t>条规定的，由县级市（区）住房城乡建设部门责令停止违法行为，采取措施排除危害，处以一万元以上十万元以下罚款；情节严重的，处以十万元以上二十万元以下罚款。</w:t>
      </w:r>
    </w:p>
    <w:p>
      <w:pPr>
        <w:pStyle w:val="Normal"/>
        <w:ind w:endChars="0" w:end="0"/>
        <w:rPr>
          <w:rFonts w:hint="eastAsia"/>
        </w:rPr>
      </w:pPr>
      <w:r>
        <w:rPr>
          <w:rFonts w:hint="eastAsia" w:eastAsia="黑体;SimHei"/>
        </w:rPr>
        <w:t xml:space="preserve">第四十三条 </w:t>
      </w:r>
      <w:r>
        <w:rPr>
          <w:rFonts w:hint="eastAsia"/>
        </w:rPr>
        <w:t xml:space="preserve"> 违反本条例第十六条第一款、第十七条第二款规定的，由县级市（区）住房城乡建设部门责令限期改正，处以一万元以上</w:t>
      </w:r>
      <w:r>
        <w:rPr>
          <w:rFonts w:hint="eastAsia"/>
          <w:shd w:fill="FFFFFF" w:val="clear"/>
        </w:rPr>
        <w:t>五</w:t>
      </w:r>
      <w:r>
        <w:rPr>
          <w:rFonts w:hint="eastAsia"/>
        </w:rPr>
        <w:t>万元以下罚款；情节严重的，处以五万元以上十万元以下罚款</w:t>
      </w:r>
      <w:r>
        <w:rPr>
          <w:rFonts w:hint="eastAsia"/>
          <w:shd w:fill="FFFFFF" w:val="clear"/>
        </w:rPr>
        <w:t>。</w:t>
      </w:r>
    </w:p>
    <w:p>
      <w:pPr>
        <w:pStyle w:val="Normal"/>
        <w:ind w:endChars="0" w:end="0"/>
        <w:rPr>
          <w:rFonts w:hint="eastAsia"/>
        </w:rPr>
      </w:pPr>
      <w:r>
        <w:rPr>
          <w:rFonts w:hint="eastAsia" w:eastAsia="黑体;SimHei"/>
        </w:rPr>
        <w:t xml:space="preserve">第四十四条 </w:t>
      </w:r>
      <w:r>
        <w:rPr>
          <w:rFonts w:hint="eastAsia"/>
        </w:rPr>
        <w:t xml:space="preserve"> 违反本条例第二十九</w:t>
      </w:r>
      <w:r>
        <w:rPr>
          <w:rFonts w:hint="eastAsia"/>
          <w:shd w:fill="FFFFFF" w:val="clear"/>
        </w:rPr>
        <w:t>条第一款第一项、第三项至七项，第三十条，或者第三十一条第二款规定，拒不委托鉴定的，由县级市（区）住房城乡建设部门责令限期改正；逾期不改正的，</w:t>
      </w:r>
      <w:r>
        <w:rPr>
          <w:rFonts w:hint="eastAsia"/>
        </w:rPr>
        <w:t>处以一万元以上十万元以下罚款；造成严重后果的，</w:t>
      </w:r>
      <w:r>
        <w:rPr>
          <w:rFonts w:hint="eastAsia"/>
          <w:shd w:fill="FFFFFF" w:val="clear"/>
        </w:rPr>
        <w:t>处以十万元以上三十万元以下罚款。</w:t>
      </w:r>
    </w:p>
    <w:p>
      <w:pPr>
        <w:pStyle w:val="Normal"/>
        <w:ind w:endChars="0" w:end="0"/>
        <w:rPr>
          <w:rFonts w:hint="eastAsia"/>
        </w:rPr>
      </w:pPr>
      <w:r>
        <w:rPr>
          <w:rFonts w:hint="eastAsia" w:eastAsia="黑体;SimHei"/>
        </w:rPr>
        <w:t xml:space="preserve">第四十五条 </w:t>
      </w:r>
      <w:r>
        <w:rPr>
          <w:rFonts w:hint="eastAsia"/>
        </w:rPr>
        <w:t xml:space="preserve"> 房屋使用安全责任人、房屋使用人以及设计、建设、施工等单位和个人有本条例规定的违法行为并受到处罚的，相关信息纳入公共信用信息系统</w:t>
      </w:r>
      <w:r>
        <w:rPr>
          <w:rFonts w:hint="eastAsia"/>
          <w:spacing w:val="-4"/>
        </w:rPr>
        <w:t>，按照规定实施联合惩戒。</w:t>
      </w:r>
    </w:p>
    <w:p>
      <w:pPr>
        <w:pStyle w:val="Normal"/>
        <w:ind w:endChars="0" w:end="0"/>
        <w:rPr/>
      </w:pPr>
      <w:r>
        <w:rPr>
          <w:rFonts w:hint="eastAsia" w:eastAsia="黑体;SimHei"/>
        </w:rPr>
        <w:t xml:space="preserve">第四十六条 </w:t>
      </w:r>
      <w:r>
        <w:rPr>
          <w:rFonts w:hint="eastAsia"/>
        </w:rPr>
        <w:t xml:space="preserve"> 住房城乡建设部门和相关行政主管部门及其国家工作人员，在房屋使用安全管理中玩忽职守、滥用职权、徇私舞弊的，由其所在单位或者上级主管机关对直接负责的主管人员和其他直接责任人员依法给予处分；构成犯罪的，依法追究刑事责任。</w:t>
      </w:r>
    </w:p>
    <w:p>
      <w:pPr>
        <w:pStyle w:val="Normal"/>
        <w:ind w:endChars="0" w:end="0"/>
        <w:rPr>
          <w:rFonts w:hint="eastAsia"/>
        </w:rPr>
      </w:pPr>
      <w:r>
        <w:rPr>
          <w:rFonts w:hint="eastAsia"/>
        </w:rPr>
      </w:r>
    </w:p>
    <w:p>
      <w:pPr>
        <w:pStyle w:val="Normal"/>
        <w:ind w:firstLineChars="0" w:firstLine="0" w:endChars="0" w:end="0"/>
        <w:jc w:val="center"/>
        <w:rPr>
          <w:rFonts w:eastAsia="黑体;SimHei" w:hint="eastAsia"/>
        </w:rPr>
      </w:pPr>
      <w:r>
        <w:rPr>
          <w:rFonts w:hint="eastAsia" w:eastAsia="黑体;SimHei"/>
        </w:rPr>
        <w:t>第七章  附则</w:t>
      </w:r>
    </w:p>
    <w:p>
      <w:pPr>
        <w:pStyle w:val="Normal"/>
        <w:ind w:endChars="0" w:end="0"/>
        <w:rPr>
          <w:rFonts w:eastAsia="黑体;SimHei" w:hint="eastAsia"/>
          <w:shd w:fill="FFFFFF" w:val="clear"/>
        </w:rPr>
      </w:pPr>
      <w:r>
        <w:rPr>
          <w:rFonts w:eastAsia="黑体;SimHei" w:hint="eastAsia"/>
          <w:shd w:fill="FFFFFF" w:val="clear"/>
        </w:rPr>
      </w:r>
    </w:p>
    <w:p>
      <w:pPr>
        <w:pStyle w:val="Normal"/>
        <w:ind w:endChars="0" w:end="0"/>
        <w:rPr>
          <w:rFonts w:hint="eastAsia"/>
          <w:shd w:fill="A6A6A6" w:val="clear"/>
        </w:rPr>
      </w:pPr>
      <w:r>
        <w:rPr>
          <w:rFonts w:hint="eastAsia" w:eastAsia="黑体;SimHei"/>
          <w:shd w:fill="FFFFFF" w:val="clear"/>
        </w:rPr>
        <w:t>第四十七条</w:t>
      </w:r>
      <w:r>
        <w:rPr>
          <w:rFonts w:hint="eastAsia"/>
          <w:shd w:fill="FFFFFF" w:val="clear"/>
        </w:rPr>
        <w:t xml:space="preserve">  本条例中下列用语的含义：</w:t>
      </w:r>
    </w:p>
    <w:p>
      <w:pPr>
        <w:pStyle w:val="Normal"/>
        <w:ind w:endChars="0" w:end="0"/>
        <w:rPr>
          <w:rFonts w:hint="eastAsia"/>
          <w:shd w:fill="FFFFFF" w:val="clear"/>
        </w:rPr>
      </w:pPr>
      <w:r>
        <w:rPr>
          <w:rFonts w:hint="eastAsia"/>
          <w:shd w:fill="FFFFFF" w:val="clear"/>
        </w:rPr>
        <w:t>（一）建筑幕墙，是指由玻璃、石材等面板与支承结构体系组成的，相对于主体结构有一定位移能力或者自身有一定变形能力，不承担主体结构所受作用的建筑外围护墙。</w:t>
      </w:r>
    </w:p>
    <w:p>
      <w:pPr>
        <w:pStyle w:val="Normal"/>
        <w:ind w:endChars="0" w:end="0"/>
        <w:rPr>
          <w:rFonts w:hint="eastAsia"/>
          <w:shd w:fill="A6A6A6" w:val="clear"/>
        </w:rPr>
      </w:pPr>
      <w:r>
        <w:rPr>
          <w:rFonts w:hint="eastAsia"/>
          <w:shd w:fill="FFFFFF" w:val="clear"/>
        </w:rPr>
        <w:t>（二）外墙外保温系统，是指由保温层、保护层和固定材料构成并且适用于安装在外墙外表面的非承重保温构造的总称。</w:t>
      </w:r>
    </w:p>
    <w:p>
      <w:pPr>
        <w:pStyle w:val="Normal"/>
        <w:ind w:endChars="0" w:end="0"/>
        <w:rPr/>
      </w:pPr>
      <w:r>
        <w:rPr>
          <w:rFonts w:hint="eastAsia" w:eastAsia="黑体;SimHei"/>
          <w:spacing w:val="-6"/>
        </w:rPr>
        <w:t>第四十八条</w:t>
      </w:r>
      <w:r>
        <w:rPr>
          <w:rFonts w:hint="eastAsia"/>
          <w:spacing w:val="-6"/>
        </w:rPr>
        <w:t xml:space="preserve">  本条例自</w:t>
      </w:r>
      <w:r>
        <w:rPr>
          <w:rFonts w:hint="eastAsia"/>
          <w:spacing w:val="-6"/>
        </w:rPr>
        <w:t>2019</w:t>
      </w:r>
      <w:r>
        <w:rPr>
          <w:rFonts w:hint="eastAsia"/>
          <w:spacing w:val="-6"/>
        </w:rPr>
        <w:t>年</w:t>
      </w:r>
      <w:r>
        <w:rPr>
          <w:rFonts w:hint="eastAsia"/>
          <w:spacing w:val="-6"/>
        </w:rPr>
        <w:t>1</w:t>
      </w:r>
      <w:r>
        <w:rPr>
          <w:rFonts w:hint="eastAsia"/>
          <w:spacing w:val="-6"/>
        </w:rPr>
        <w:t>月</w:t>
      </w:r>
      <w:r>
        <w:rPr>
          <w:rFonts w:hint="eastAsia"/>
          <w:spacing w:val="-6"/>
        </w:rPr>
        <w:t>1</w:t>
      </w:r>
      <w:r>
        <w:rPr>
          <w:rFonts w:hint="eastAsia"/>
          <w:spacing w:val="-6"/>
        </w:rPr>
        <w:t>日起施行。</w:t>
      </w:r>
    </w:p>
    <w:p>
      <w:pPr>
        <w:pStyle w:val="Normal"/>
        <w:ind w:endChars="0" w:end="0"/>
        <w:rPr>
          <w:rFonts w:hint="eastAsia"/>
          <w:spacing w:val="-6"/>
        </w:rPr>
      </w:pPr>
      <w:r>
        <w:rPr>
          <w:rFonts w:hint="eastAsia"/>
          <w:spacing w:val="-6"/>
        </w:rPr>
      </w:r>
    </w:p>
    <w:p>
      <w:pPr>
        <w:pStyle w:val="Normal"/>
        <w:ind w:endChars="0" w:end="0"/>
        <w:rPr>
          <w:rFonts w:hint="eastAsia"/>
        </w:rPr>
      </w:pPr>
      <w:r>
        <w:rPr>
          <w:rFonts w:hint="eastAsia"/>
        </w:rPr>
      </w:r>
    </w:p>
    <w:p>
      <w:pPr>
        <w:pStyle w:val="Normal"/>
        <w:ind w:endChars="0" w:end="0"/>
        <w:rPr>
          <w:rFonts w:hint="eastAsia"/>
        </w:rPr>
      </w:pPr>
      <w:r>
        <w:rPr>
          <w:rFonts w:hint="eastAsia"/>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variable"/>
  </w:font>
  <w:font w:name="Liberation Sans">
    <w:altName w:val="Arial"/>
    <w:charset w:val="01" w:characterSet="utf-8"/>
    <w:family w:val="swiss"/>
    <w:pitch w:val="variable"/>
  </w:font>
  <w:font w:name="方正小标宋_GBK">
    <w:charset w:val="86"/>
    <w:family w:val="script"/>
    <w:pitch w:val="default"/>
  </w:font>
  <w:font w:name="方正黑体简体">
    <w:charset w:val="86"/>
    <w:family w:val="script"/>
    <w:pitch w:val="default"/>
  </w:font>
  <w:font w:name="方正楷体简体">
    <w:charset w:val="86"/>
    <w:family w:val="script"/>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20" behindDoc="0" locked="0" layoutInCell="0" allowOverlap="1">
              <wp:simplePos x="0" y="0"/>
              <wp:positionH relativeFrom="margin">
                <wp:align>outside</wp:align>
              </wp:positionH>
              <wp:positionV relativeFrom="paragraph">
                <wp:posOffset>635</wp:posOffset>
              </wp:positionV>
              <wp:extent cx="762635" cy="511175"/>
              <wp:effectExtent l="0" t="0" r="0" b="0"/>
              <wp:wrapSquare wrapText="bothSides"/>
              <wp:docPr id="1" name="Frame2"/>
              <a:graphic xmlns:a="http://schemas.openxmlformats.org/drawingml/2006/main">
                <a:graphicData uri="http://schemas.microsoft.com/office/word/2010/wordprocessingShape">
                  <wps:wsp>
                    <wps:cNvSpPr txBox="1"/>
                    <wps:spPr>
                      <a:xfrm>
                        <a:off x="0" y="0"/>
                        <a:ext cx="762635" cy="511175"/>
                      </a:xfrm>
                      <a:prstGeom prst="rect"/>
                      <a:solidFill>
                        <a:srgbClr val="FFFFFF">
                          <a:alpha val="0"/>
                        </a:srgbClr>
                      </a:solidFill>
                    </wps:spPr>
                    <wps:txbx>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18</w:t>
                          </w:r>
                          <w:r>
                            <w:rPr/>
                            <w:fldChar w:fldCharType="end"/>
                          </w:r>
                          <w:r>
                            <w:rPr/>
                            <w:t xml:space="preserve"> </w:t>
                          </w:r>
                          <w:r>
                            <w:rPr>
                              <w:rFonts w:hint="eastAsia"/>
                            </w:rPr>
                            <w:t>─</w:t>
                          </w:r>
                        </w:p>
                      </w:txbxContent>
                    </wps:txbx>
                    <wps:bodyPr anchor="t" lIns="0" tIns="0" rIns="0" bIns="0">
                      <a:noAutofit/>
                    </wps:bodyPr>
                  </wps:wsp>
                </a:graphicData>
              </a:graphic>
            </wp:anchor>
          </w:drawing>
        </mc:Choice>
        <mc:Fallback>
          <w:pict>
            <v:rect fillcolor="#FFFFFF" style="position:absolute;rotation:-0;width:60.05pt;height:40.25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18</w:t>
                    </w:r>
                    <w:r>
                      <w:rPr/>
                      <w:fldChar w:fldCharType="end"/>
                    </w:r>
                    <w:r>
                      <w:rPr/>
                      <w:t xml:space="preserve"> </w:t>
                    </w:r>
                    <w:r>
                      <w:rPr>
                        <w:rFonts w:hint="eastAsia"/>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1" behindDoc="0" locked="0" layoutInCell="0" allowOverlap="1">
              <wp:simplePos x="0" y="0"/>
              <wp:positionH relativeFrom="margin">
                <wp:align>outside</wp:align>
              </wp:positionH>
              <wp:positionV relativeFrom="paragraph">
                <wp:posOffset>635</wp:posOffset>
              </wp:positionV>
              <wp:extent cx="762635" cy="257175"/>
              <wp:effectExtent l="0" t="0" r="0" b="0"/>
              <wp:wrapSquare wrapText="bothSides"/>
              <wp:docPr id="2" name="Frame1"/>
              <a:graphic xmlns:a="http://schemas.openxmlformats.org/drawingml/2006/main">
                <a:graphicData uri="http://schemas.microsoft.com/office/word/2010/wordprocessingShape">
                  <wps:wsp>
                    <wps:cNvSpPr txBox="1"/>
                    <wps:spPr>
                      <a:xfrm>
                        <a:off x="0" y="0"/>
                        <a:ext cx="762635" cy="257175"/>
                      </a:xfrm>
                      <a:prstGeom prst="rect"/>
                      <a:solidFill>
                        <a:srgbClr val="FFFFFF">
                          <a:alpha val="0"/>
                        </a:srgbClr>
                      </a:solidFill>
                    </wps:spPr>
                    <wps:txbx>
                      <w:txbxContent>
                        <w:p>
                          <w:pPr>
                            <w:pStyle w:val="Footer"/>
                            <w:rPr/>
                          </w:pPr>
                          <w:r>
                            <w:rPr>
                              <w:rFonts w:hint="eastAsia"/>
                            </w:rPr>
                            <w:t>─</w:t>
                          </w:r>
                          <w:r>
                            <w:rPr/>
                            <w:t xml:space="preserve"> </w:t>
                          </w:r>
                          <w:r>
                            <w:rPr/>
                            <w:fldChar w:fldCharType="begin"/>
                          </w:r>
                          <w:r>
                            <w:rPr/>
                            <w:instrText xml:space="preserve"> PAGE </w:instrText>
                          </w:r>
                          <w:r>
                            <w:rPr/>
                            <w:fldChar w:fldCharType="separate"/>
                          </w:r>
                          <w:r>
                            <w:rPr/>
                            <w:t>19</w:t>
                          </w:r>
                          <w:r>
                            <w:rPr/>
                            <w:fldChar w:fldCharType="end"/>
                          </w:r>
                          <w:r>
                            <w:rPr/>
                            <w:t xml:space="preserve"> </w:t>
                          </w:r>
                          <w:r>
                            <w:rPr>
                              <w:rFonts w:hint="eastAsia"/>
                            </w:rPr>
                            <w:t xml:space="preserve">─  </w:t>
                          </w:r>
                        </w:p>
                      </w:txbxContent>
                    </wps:txbx>
                    <wps:bodyPr anchor="t" lIns="0" tIns="0" rIns="0" bIns="0">
                      <a:noAutofit/>
                    </wps:bodyPr>
                  </wps:wsp>
                </a:graphicData>
              </a:graphic>
            </wp:anchor>
          </w:drawing>
        </mc:Choice>
        <mc:Fallback>
          <w:pict>
            <v:rect fillcolor="#FFFFFF" style="position:absolute;rotation:-0;width:60.05pt;height:20.25pt;mso-wrap-distance-left:0pt;mso-wrap-distance-right:0pt;mso-wrap-distance-top:0pt;mso-wrap-distance-bottom:0pt;margin-top:0.05pt;mso-position-vertical-relative:text;margin-left:382.15pt;mso-position-horizontal:outside;mso-position-horizontal-relative:margin">
              <v:fill opacity="0f"/>
              <v:textbox inset="0in,0in,0in,0in">
                <w:txbxContent>
                  <w:p>
                    <w:pPr>
                      <w:pStyle w:val="Footer"/>
                      <w:rPr/>
                    </w:pPr>
                    <w:r>
                      <w:rPr>
                        <w:rFonts w:hint="eastAsia"/>
                      </w:rPr>
                      <w:t>─</w:t>
                    </w:r>
                    <w:r>
                      <w:rPr/>
                      <w:t xml:space="preserve"> </w:t>
                    </w:r>
                    <w:r>
                      <w:rPr/>
                      <w:fldChar w:fldCharType="begin"/>
                    </w:r>
                    <w:r>
                      <w:rPr/>
                      <w:instrText xml:space="preserve"> PAGE </w:instrText>
                    </w:r>
                    <w:r>
                      <w:rPr/>
                      <w:fldChar w:fldCharType="separate"/>
                    </w:r>
                    <w:r>
                      <w:rPr/>
                      <w:t>19</w:t>
                    </w:r>
                    <w:r>
                      <w:rPr/>
                      <w:fldChar w:fldCharType="end"/>
                    </w:r>
                    <w:r>
                      <w:rPr/>
                      <w:t xml:space="preserve"> </w:t>
                    </w:r>
                    <w:r>
                      <w:rPr>
                        <w:rFonts w:hint="eastAsia"/>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5"/>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 w:hAnsi="Times" w:eastAsia="仿宋_GB2312" w:cs="Times"/>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SimHei"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WW8Num1z0">
    <w:name w:val="WW8Num1z0"/>
    <w:qFormat/>
    <w:rPr>
      <w:rFonts w:hint="eastAsia"/>
    </w:rPr>
  </w:style>
  <w:style w:type="character" w:styleId="Style11">
    <w:name w:val="默认段落字体"/>
    <w:qFormat/>
    <w:rPr/>
  </w:style>
  <w:style w:type="character" w:styleId="PageNumber">
    <w:name w:val="page number"/>
    <w:basedOn w:val="Style1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 w:hAnsi="方正小标宋_GBK" w:eastAsia="方正小标宋简体"/>
      <w:sz w:val="44"/>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2">
    <w:name w:val="标题2"/>
    <w:basedOn w:val="Normal"/>
    <w:next w:val="Normal"/>
    <w:qFormat/>
    <w:pPr>
      <w:overflowPunct w:val="true"/>
      <w:snapToGrid w:val="true"/>
      <w:ind w:firstLineChars="0" w:firstLine="0" w:startChars="0" w:start="0" w:endChars="0" w:end="0"/>
      <w:jc w:val="center"/>
    </w:pPr>
    <w:rPr>
      <w:rFonts w:ascii="Times New Roman" w:hAnsi="Times New Roman" w:eastAsia="楷体_GB2312" w:cs="Times New Roman"/>
      <w:szCs w:val="24"/>
    </w:rPr>
  </w:style>
  <w:style w:type="paragraph" w:styleId="3">
    <w:name w:val="标题3"/>
    <w:basedOn w:val="Normal"/>
    <w:next w:val="Normal"/>
    <w:qFormat/>
    <w:pPr/>
    <w:rPr>
      <w:rFonts w:ascii="方正黑体简体" w:hAnsi="方正黑体简体" w:eastAsia="方正黑体简体"/>
    </w:rPr>
  </w:style>
  <w:style w:type="paragraph" w:styleId="4">
    <w:name w:val="标题4"/>
    <w:basedOn w:val="3"/>
    <w:next w:val="Normal"/>
    <w:qFormat/>
    <w:pPr>
      <w:jc w:val="center"/>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5">
    <w:name w:val="标题5"/>
    <w:basedOn w:val="Normal"/>
    <w:next w:val="Normal"/>
    <w:qFormat/>
    <w:pPr/>
    <w:rPr>
      <w:rFonts w:ascii="方正楷体简体" w:hAnsi="方正楷体简体" w:eastAsia="方正楷体简体"/>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1">
    <w:name w:val="正文文本缩进 2"/>
    <w:basedOn w:val="Normal"/>
    <w:qFormat/>
    <w:pPr>
      <w:overflowPunct w:val="true"/>
      <w:autoSpaceDE w:val="false"/>
      <w:spacing w:lineRule="atLeast" w:line="567"/>
      <w:ind w:hangingChars="400" w:startChars="0" w:start="0" w:endChars="0" w:end="0"/>
    </w:pPr>
    <w:rPr>
      <w:sz w:val="2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SimSun"/>
      <w:b/>
      <w:bCs/>
      <w:sz w:val="28"/>
      <w:szCs w:val="24"/>
    </w:rPr>
  </w:style>
  <w:style w:type="paragraph" w:styleId="31">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SimSun"/>
      <w:sz w:val="28"/>
      <w:szCs w:val="24"/>
    </w:rPr>
  </w:style>
  <w:style w:type="paragraph" w:styleId="Style71">
    <w:name w:val="_Style 7"/>
    <w:basedOn w:val="Normal"/>
    <w:qFormat/>
    <w:pPr>
      <w:widowControl/>
      <w:spacing w:lineRule="exact" w:line="240" w:before="0" w:after="160"/>
      <w:jc w:val="start"/>
    </w:pPr>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2018-08-28T09:39:00Z</dcterms:created>
  <dc:creator>admin</dc:creator>
  <dc:description/>
  <cp:keywords/>
  <dc:language>en-US</dc:language>
  <cp:lastModifiedBy>admin</cp:lastModifiedBy>
  <cp:lastPrinted>2002-07-23T10:37:00Z</cp:lastPrinted>
  <dcterms:modified xsi:type="dcterms:W3CDTF">2018-08-28T09:39:00Z</dcterms:modified>
  <cp:revision>1</cp:revision>
  <dc:subject/>
  <dc:title>公文通报模板</dc:title>
</cp:coreProperties>
</file>