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jc w:val="center"/>
        <w:rPr>
          <w:rFonts w:ascii="Times New Roman" w:hAnsi="Times New Roman" w:eastAsia="方正小标宋简体" w:cs="Times New Roman"/>
          <w:bCs/>
          <w:sz w:val="44"/>
          <w:szCs w:val="44"/>
        </w:rPr>
      </w:pPr>
      <w:r>
        <w:rPr>
          <w:rFonts w:eastAsia="方正小标宋简体" w:cs="Times New Roman" w:ascii="Times New Roman" w:hAnsi="Times New Roman"/>
          <w:bCs/>
          <w:sz w:val="44"/>
          <w:szCs w:val="44"/>
        </w:rPr>
      </w:r>
    </w:p>
    <w:p>
      <w:pPr>
        <w:pStyle w:val="Style12"/>
        <w:ind w:endChars="0" w:end="0"/>
        <w:rPr>
          <w:rFonts w:ascii="Times New Roman" w:hAnsi="Times New Roman" w:eastAsia="方正小标宋简体" w:cs="Times New Roman"/>
          <w:bCs/>
          <w:sz w:val="44"/>
          <w:szCs w:val="44"/>
        </w:rPr>
      </w:pPr>
      <w:r>
        <w:rPr>
          <w:rFonts w:eastAsia="方正小标宋简体" w:cs="Times New Roman" w:ascii="Times New Roman" w:hAnsi="Times New Roman"/>
          <w:bCs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扬州市人民代表大会常务委员会关于修改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《扬州市河道管理条例》的决定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eastAsia="宋体" w:cs="Times New Roman" w:hint="eastAsia" w:ascii="Times New Roman" w:hAnsi="Times New Roman"/>
          <w:sz w:val="44"/>
          <w:szCs w:val="44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kern w:val="0"/>
          <w:szCs w:val="32"/>
        </w:rPr>
      </w:pPr>
      <w:r>
        <w:rPr>
          <w:rFonts w:ascii="Times New Roman" w:hAnsi="Times New Roman" w:cs="Times New Roman" w:hint="eastAsia" w:eastAsia="楷体_GB2312"/>
          <w:kern w:val="0"/>
          <w:szCs w:val="32"/>
        </w:rPr>
        <w:t>（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2022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年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10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月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28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日扬州市第九届人民代表大会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kern w:val="0"/>
          <w:szCs w:val="32"/>
        </w:rPr>
      </w:pPr>
      <w:r>
        <w:rPr>
          <w:rFonts w:ascii="Times New Roman" w:hAnsi="Times New Roman" w:cs="Times New Roman" w:hint="eastAsia" w:eastAsia="楷体_GB2312"/>
          <w:kern w:val="0"/>
          <w:szCs w:val="32"/>
        </w:rPr>
        <w:t xml:space="preserve">常务委员会第五次会议通过  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2022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年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11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月</w:t>
      </w:r>
      <w:r>
        <w:rPr>
          <w:rFonts w:eastAsia="楷体_GB2312" w:cs="Times New Roman" w:hint="eastAsia" w:ascii="Times New Roman" w:hAnsi="Times New Roman"/>
          <w:kern w:val="0"/>
          <w:szCs w:val="32"/>
        </w:rPr>
        <w:t>25</w:t>
      </w:r>
      <w:r>
        <w:rPr>
          <w:rFonts w:ascii="Times New Roman" w:hAnsi="Times New Roman" w:cs="Times New Roman" w:hint="eastAsia" w:eastAsia="楷体_GB2312"/>
          <w:kern w:val="0"/>
          <w:szCs w:val="32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kern w:val="0"/>
          <w:szCs w:val="32"/>
        </w:rPr>
      </w:pPr>
      <w:r>
        <w:rPr>
          <w:rFonts w:ascii="Times New Roman" w:hAnsi="Times New Roman" w:cs="Times New Roman" w:hint="eastAsia" w:eastAsia="楷体_GB2312"/>
          <w:kern w:val="0"/>
          <w:szCs w:val="32"/>
        </w:rPr>
        <w:t>第十三届人民代表大会常务委员会第三十三次会议批准）</w:t>
      </w:r>
    </w:p>
    <w:p>
      <w:pPr>
        <w:pStyle w:val="Normal"/>
        <w:ind w:startChars="200" w:endChars="200"/>
        <w:rPr>
          <w:rFonts w:ascii="Times New Roman" w:hAnsi="Times New Roman" w:eastAsia="楷体_GB2312" w:cs="Arial" w:hint="eastAsia"/>
          <w:kern w:val="0"/>
          <w:szCs w:val="32"/>
        </w:rPr>
      </w:pPr>
      <w:r>
        <w:rPr>
          <w:rFonts w:eastAsia="楷体_GB2312" w:cs="Arial" w:hint="eastAsia" w:ascii="Times New Roman" w:hAnsi="Times New Roman"/>
          <w:kern w:val="0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扬州市第九届人民代表大会常务委员会第五次会议决定对《扬州市河道管理条例》作如下修改：</w:t>
      </w:r>
    </w:p>
    <w:p>
      <w:pPr>
        <w:pStyle w:val="Normal"/>
        <w:ind w:endChars="0" w:end="0"/>
        <w:rPr>
          <w:rFonts w:ascii="Times New Roman" w:hAnsi="Times New Roman" w:eastAsia="黑体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一、</w:t>
      </w:r>
      <w:r>
        <w:rPr>
          <w:rFonts w:ascii="Times New Roman" w:hAnsi="Times New Roman" w:cs="Times New Roman" w:hint="eastAsia"/>
          <w:szCs w:val="32"/>
        </w:rPr>
        <w:t>将第三条第二款修改为：“河道管理工作全面实行河长制，落实河道管理保护地方主体责任，建立健全部门联动综合治理长效机制。”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二、</w:t>
      </w:r>
      <w:r>
        <w:rPr>
          <w:rFonts w:ascii="Times New Roman" w:hAnsi="Times New Roman" w:cs="Times New Roman" w:hint="eastAsia"/>
          <w:szCs w:val="32"/>
        </w:rPr>
        <w:t>将第四条第二款修改为：“扬州经济技术开发区管理委员会、扬州市生态科技新城管理委员会、扬州市蜀冈</w:t>
      </w:r>
      <w:r>
        <w:rPr>
          <w:rFonts w:cs="Times New Roman" w:hint="eastAsia" w:ascii="Times New Roman" w:hAnsi="Times New Roman"/>
          <w:szCs w:val="32"/>
        </w:rPr>
        <w:t>-</w:t>
      </w:r>
      <w:r>
        <w:rPr>
          <w:rFonts w:ascii="Times New Roman" w:hAnsi="Times New Roman" w:cs="Times New Roman" w:hint="eastAsia"/>
          <w:szCs w:val="32"/>
        </w:rPr>
        <w:t>瘦西湖风景名胜区管理委员会（以下简称管理委员会）按照职责权限负责本区域内河道管理工作。”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三、</w:t>
      </w:r>
      <w:r>
        <w:rPr>
          <w:rFonts w:ascii="Times New Roman" w:hAnsi="Times New Roman" w:cs="Times New Roman" w:hint="eastAsia"/>
          <w:szCs w:val="32"/>
        </w:rPr>
        <w:t>将第六条第二款修改为：“发展和改革、公安、财政、自然资源和规划、住房和城乡建设、城市管理、交通运输、农业农村、生态环境、文化广电和旅游等主管部门按照各自职责，做好河道管理相关工作。”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四、</w:t>
      </w:r>
      <w:r>
        <w:rPr>
          <w:rFonts w:ascii="Times New Roman" w:hAnsi="Times New Roman" w:cs="Times New Roman" w:hint="eastAsia"/>
          <w:szCs w:val="32"/>
        </w:rPr>
        <w:t>将第七条第二款修改为：“村民委员会、居民委员会可以依法制定村规民约或者居民公约，引导村民、居民自觉维护河道整洁，协助做好河道的清淤疏浚和保洁工作。”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第三款修改为：“对在河道管理工作中做出突出贡献的单位和个人，按照国家和省有关规定给予表彰、奖励。”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五、</w:t>
      </w:r>
      <w:r>
        <w:rPr>
          <w:rFonts w:ascii="Times New Roman" w:hAnsi="Times New Roman" w:cs="Times New Roman" w:hint="eastAsia"/>
          <w:szCs w:val="32"/>
        </w:rPr>
        <w:t>增加一条，作为第八条：“各级总河长是本行政区域内河长制的第一责任人。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各级河长负责组织相应河道的管理、保护、治理等工作，开展河道巡查，协调、督促解决河道管理保护中的问题。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各相关部门按照分工履行职责，落实河长制有关工作。”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六、</w:t>
      </w:r>
      <w:r>
        <w:rPr>
          <w:rFonts w:ascii="Times New Roman" w:hAnsi="Times New Roman" w:cs="Times New Roman" w:hint="eastAsia"/>
          <w:szCs w:val="32"/>
        </w:rPr>
        <w:t>增加一条，作为第九条：“跨行政区域的河道应当建立联合河长制，统筹推进上下游、左右岸、干支流的协同治理与保护。”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七、</w:t>
      </w:r>
      <w:r>
        <w:rPr>
          <w:rFonts w:ascii="Times New Roman" w:hAnsi="Times New Roman" w:cs="Times New Roman" w:hint="eastAsia"/>
          <w:szCs w:val="32"/>
        </w:rPr>
        <w:t>将第十条改为第十二条，第二款第一项中的“城市规划”修改为“国土空间规划”。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八、</w:t>
      </w:r>
      <w:r>
        <w:rPr>
          <w:rFonts w:ascii="Times New Roman" w:hAnsi="Times New Roman" w:cs="Times New Roman" w:hint="eastAsia"/>
          <w:szCs w:val="32"/>
        </w:rPr>
        <w:t>将第十三条改为第十五条，第二款中的“损毁”后增加“掩盖”。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九、</w:t>
      </w:r>
      <w:r>
        <w:rPr>
          <w:rFonts w:ascii="Times New Roman" w:hAnsi="Times New Roman" w:cs="Times New Roman" w:hint="eastAsia"/>
          <w:szCs w:val="32"/>
        </w:rPr>
        <w:t>将第十四条改为第十六条，其中的“环境保护行政主管部门”修改为“生态环境主管部门”。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十、</w:t>
      </w:r>
      <w:r>
        <w:rPr>
          <w:rFonts w:ascii="Times New Roman" w:hAnsi="Times New Roman" w:cs="Times New Roman" w:hint="eastAsia"/>
          <w:szCs w:val="32"/>
        </w:rPr>
        <w:t>将第十五条改为第十七条，第二款中的“环境保护行政主管部门”修改为“生态环境主管部门”，“管网排水主管部门”修改为“城镇排水主管部门”，“农林（渔业）主管部门”修改为“农业农村主管部门”。</w:t>
      </w:r>
    </w:p>
    <w:p>
      <w:pPr>
        <w:pStyle w:val="Normal"/>
        <w:ind w:endChars="0" w:end="0"/>
        <w:rPr>
          <w:rFonts w:ascii="Times New Roman" w:hAnsi="Times New Roman" w:eastAsia="方正仿宋_GBK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十一、</w:t>
      </w:r>
      <w:r>
        <w:rPr>
          <w:rFonts w:ascii="Times New Roman" w:hAnsi="Times New Roman" w:cs="Times New Roman" w:hint="eastAsia"/>
          <w:szCs w:val="32"/>
        </w:rPr>
        <w:t>将第十六条改为第十八条，第二款中的“环境保护行政主管部门”修改为“生态环境主管部门”。</w:t>
      </w:r>
    </w:p>
    <w:p>
      <w:pPr>
        <w:pStyle w:val="Normal"/>
        <w:ind w:endChars="0" w:end="0"/>
        <w:rPr>
          <w:rFonts w:ascii="Times New Roman" w:hAnsi="Times New Roman" w:eastAsia="方正仿宋_GBK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十二、</w:t>
      </w:r>
      <w:r>
        <w:rPr>
          <w:rFonts w:ascii="Times New Roman" w:hAnsi="Times New Roman" w:cs="Times New Roman" w:hint="eastAsia"/>
          <w:szCs w:val="32"/>
        </w:rPr>
        <w:t>将第二十条改为第二十二条，第二款中的“水系沟通”修改为“水系连通”。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十三、</w:t>
      </w:r>
      <w:r>
        <w:rPr>
          <w:rFonts w:ascii="Times New Roman" w:hAnsi="Times New Roman" w:cs="Times New Roman" w:hint="eastAsia"/>
          <w:szCs w:val="32"/>
        </w:rPr>
        <w:t>将第二十五条改为第二十七条，第一款修改为：“在河道管理范围内新建、改建、扩建入河排污口，或者已经设置的入河排污口位置、排放方式等需要调整的，不得违反有关法律、法规禁止设置入河排污口的规定，并依法经过批准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增加一款，作为第二款：“市、县（市、区）人民政府组织实施对所辖区域各类入河排污口开展排查，明确责任主体，实施分类管理；对不符合国家和省有关规定的，应当依法处理。排查情况公众有权查询。”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删除第三款。</w:t>
      </w:r>
    </w:p>
    <w:p>
      <w:pPr>
        <w:pStyle w:val="Normal"/>
        <w:shd w:fill="FFFFFF" w:val="clear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十四、</w:t>
      </w:r>
      <w:r>
        <w:rPr>
          <w:rFonts w:ascii="Times New Roman" w:hAnsi="Times New Roman" w:cs="Times New Roman" w:hint="eastAsia"/>
          <w:szCs w:val="32"/>
        </w:rPr>
        <w:t>将第二十六条改为第二十八条，第二项修改为：“在行洪、排涝、输水的主要河道或者通道上设置拦河渔具、鱼罾、鱼簖等捕鱼设施”。</w:t>
      </w:r>
    </w:p>
    <w:p>
      <w:pPr>
        <w:pStyle w:val="Normal"/>
        <w:ind w:endChars="0" w:end="0"/>
        <w:rPr>
          <w:rFonts w:ascii="Times New Roman" w:hAnsi="Times New Roman" w:eastAsia="方正仿宋_GBK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十五、</w:t>
      </w:r>
      <w:r>
        <w:rPr>
          <w:rFonts w:ascii="Times New Roman" w:hAnsi="Times New Roman" w:cs="Times New Roman" w:hint="eastAsia"/>
          <w:szCs w:val="32"/>
        </w:rPr>
        <w:t>删除第二十八条。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十六、</w:t>
      </w:r>
      <w:r>
        <w:rPr>
          <w:rFonts w:ascii="Times New Roman" w:hAnsi="Times New Roman" w:cs="Times New Roman" w:hint="eastAsia"/>
          <w:szCs w:val="32"/>
        </w:rPr>
        <w:t>将第二十九条改为第三十条，“损毁”后增加“掩盖”，“处二百元以上二千元以下罚款”前增加“可以”。</w:t>
      </w:r>
    </w:p>
    <w:p>
      <w:pPr>
        <w:pStyle w:val="Normal"/>
        <w:ind w:endChars="0" w:end="0"/>
        <w:rPr>
          <w:rFonts w:ascii="Times New Roman" w:hAnsi="Times New Roman" w:eastAsia="方正仿宋_GBK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十七、</w:t>
      </w:r>
      <w:r>
        <w:rPr>
          <w:rFonts w:ascii="Times New Roman" w:hAnsi="Times New Roman" w:cs="Times New Roman" w:hint="eastAsia"/>
          <w:szCs w:val="32"/>
        </w:rPr>
        <w:t>删除第三十一条第二款。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十八、</w:t>
      </w:r>
      <w:r>
        <w:rPr>
          <w:rFonts w:ascii="Times New Roman" w:hAnsi="Times New Roman" w:cs="Times New Roman" w:hint="eastAsia"/>
          <w:szCs w:val="32"/>
        </w:rPr>
        <w:t>将第三十二条改为第三十三条，修改为：“违反本条例第二十八条规定，有下列行为之一的，由水行政主管部门按照下列规定予以处罚：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（一）设置拦河渔具、鱼罾、鱼簖等捕鱼设施，影响行洪、排涝、输水的，责令停止违法行为，限期拆除；逾期不拆除的，依法强制拆除，可以处二百元以上一千元以下罚款；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（二）弃置、堆放废渣、垃圾等，向河道中倾倒渣土、排放泥浆的，责令停止违法行为，排除阻碍或者采取其他补救措施，可以处五万元以下的罚款；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（三）擅自砍伐护堤、护岸林木的，责令纠正违法行为、赔偿损失、采取补救措施，没收违法所得，可以并处警告、一万元以下罚款；情节严重的或者造成重大损失的，可以并处一万元以上十万元以下罚款；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cs="Times New Roman" w:hint="eastAsia" w:ascii="Times New Roman" w:hAnsi="Times New Roman"/>
          <w:szCs w:val="32"/>
        </w:rPr>
        <w:t>“</w:t>
      </w:r>
      <w:r>
        <w:rPr>
          <w:rFonts w:ascii="Times New Roman" w:hAnsi="Times New Roman" w:cs="Times New Roman" w:hint="eastAsia"/>
          <w:szCs w:val="32"/>
        </w:rPr>
        <w:t>（四）在堤防和护堤地有放牧、开渠、打井、殡葬、扒翻种植等行为的，责令停止违法行为，限期改正或者采取其他补救措施，处以一万元以上五万元以下罚款；构成犯罪的，依法追究刑事责任。”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十九、</w:t>
      </w:r>
      <w:r>
        <w:rPr>
          <w:rFonts w:ascii="Times New Roman" w:hAnsi="Times New Roman" w:cs="Times New Roman" w:hint="eastAsia"/>
          <w:szCs w:val="32"/>
        </w:rPr>
        <w:t xml:space="preserve">将第三十六条改为第三十八条，修改为：“违反本条例规定的行为，法律、法规另有处罚规定的，从其规定”。  </w:t>
      </w:r>
      <w:r>
        <w:rPr>
          <w:rFonts w:ascii="Times New Roman" w:hAnsi="Times New Roman" w:cs="Times New Roman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二十、</w:t>
      </w:r>
      <w:r>
        <w:rPr>
          <w:rFonts w:ascii="Times New Roman" w:hAnsi="Times New Roman" w:cs="Times New Roman" w:hint="eastAsia"/>
          <w:szCs w:val="32"/>
        </w:rPr>
        <w:t>将第三十七条中的“由其所在单位或者上级主管机关对负有责任的主管人员”修改为“对直接负责的主管人员”。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 w:eastAsia="黑体"/>
          <w:szCs w:val="32"/>
        </w:rPr>
        <w:t>二十一、</w:t>
      </w:r>
      <w:r>
        <w:rPr>
          <w:rFonts w:ascii="Times New Roman" w:hAnsi="Times New Roman" w:cs="Times New Roman" w:hint="eastAsia"/>
          <w:szCs w:val="32"/>
        </w:rPr>
        <w:t>将第三十九条改为第四十条，其中的“扬州市城市总体规划”修改为“扬州市国土空间规划”。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Cs w:val="32"/>
        </w:rPr>
      </w:pPr>
      <w:r>
        <w:rPr>
          <w:rFonts w:ascii="Times New Roman" w:hAnsi="Times New Roman" w:cs="Times New Roman" w:hint="eastAsia"/>
          <w:szCs w:val="32"/>
        </w:rPr>
        <w:t>此外，对条文顺序作相应调整。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本决定自公布之日起施行。</w:t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 w:hint="eastAsia"/>
          <w:szCs w:val="32"/>
        </w:rPr>
        <w:t>《扬州市河道管理条例》根据本决定作相应修改，重新公布。</w:t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Tahoma">
    <w:charset w:val="00" w:characterSet="windows-1252"/>
    <w:family w:val="swiss"/>
    <w:pitch w:val="default"/>
  </w:font>
  <w:font w:name="方正黑体简体">
    <w:altName w:val="微软雅黑"/>
    <w:charset w:val="86"/>
    <w:family w:val="script"/>
    <w:pitch w:val="default"/>
  </w:font>
  <w:font w:name="方正仿宋_GBK">
    <w:charset w:val="86"/>
    <w:family w:val="script"/>
    <w:pitch w:val="default"/>
  </w:font>
  <w:font w:name="方正小标宋_GBK">
    <w:altName w:val="微软雅黑"/>
    <w:charset w:val="86"/>
    <w:family w:val="auto"/>
    <w:pitch w:val="default"/>
  </w:font>
  <w:font w:name="方正楷体_GBK">
    <w:charset w:val="86"/>
    <w:family w:val="auto"/>
    <w:pitch w:val="default"/>
  </w:font>
  <w:font w:name="方正楷体简体">
    <w:altName w:val="楷体_GB2312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;仿宋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PageNumber">
    <w:name w:val="page number"/>
    <w:basedOn w:val="Style11"/>
    <w:rPr/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引文目录"/>
    <w:basedOn w:val="Normal"/>
    <w:next w:val="Normal"/>
    <w:qFormat/>
    <w:pPr>
      <w:ind w:firstLineChars="200" w:startChars="200" w:endChars="0" w:end="0"/>
    </w:pPr>
    <w:rPr/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;仿宋" w:hAnsi="仿宋_GB2312;仿宋"/>
      <w:spacing w:val="-6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Style14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Style15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;微软雅黑" w:cs="宋体"/>
      <w:color w:val="000000"/>
      <w:kern w:val="0"/>
      <w:sz w:val="24"/>
      <w:szCs w:val="32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7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" w:hAnsi="方正仿宋_GBK" w:eastAsia="方正仿宋_GBK" w:cs="方正仿宋_GBK" w:hint="eastAsia"/>
      <w:color w:val="000000"/>
      <w:sz w:val="24"/>
      <w:szCs w:val="22"/>
      <w:lang w:bidi="ar-SA" w:val="en-US" w:eastAsia="zh-CN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" w:hAnsi="方正楷体_GBK" w:eastAsia="楷体_GB2312" w:cs="Book Antiqua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;楷体_GB2312" w:hAnsi="方正楷体简体;楷体_GB2312" w:eastAsia="方正楷体简体;楷体_GB23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2022-12-27T14:22:00Z</dcterms:created>
  <dc:creator>admin</dc:creator>
  <dc:description/>
  <dc:language>en-US</dc:language>
  <cp:lastModifiedBy>jiawei</cp:lastModifiedBy>
  <cp:lastPrinted>2018-06-27T14:51:00Z</cp:lastPrinted>
  <dcterms:modified xsi:type="dcterms:W3CDTF">2023-01-11T15:56:33Z</dcterms:modified>
  <cp:revision>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BD2E15DA6EB546C39EF61A78EE763074</vt:lpwstr>
  </property>
  <property fmtid="{D5CDD505-2E9C-101B-9397-08002B2CF9AE}" pid="3" name="KSOProductBuildVer">
    <vt:lpwstr>2052-11.1.0.13703</vt:lpwstr>
  </property>
</Properties>
</file>