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1"/>
        <w:spacing w:lineRule="exact" w:line="590"/>
        <w:rPr>
          <w:rFonts w:ascii="Times New Roman" w:hAnsi="Times New Roman" w:eastAsia="宋体" w:cs="方正小标宋_GBK;微软雅黑" w:hint="eastAsia"/>
        </w:rPr>
      </w:pPr>
      <w:r>
        <w:rPr>
          <w:rFonts w:ascii="Times New Roman" w:hAnsi="Times New Roman" w:cs="方正小标宋_GBK;微软雅黑" w:hint="eastAsia" w:eastAsia="宋体"/>
        </w:rPr>
        <w:t>江苏省人民代表大会常务委员会关于废止</w:t>
      </w:r>
    </w:p>
    <w:p>
      <w:pPr>
        <w:pStyle w:val="1"/>
        <w:spacing w:lineRule="exact" w:line="590"/>
        <w:rPr>
          <w:rFonts w:ascii="Times New Roman" w:hAnsi="Times New Roman" w:eastAsia="宋体" w:cs="方正小标宋_GBK;微软雅黑" w:hint="eastAsia"/>
        </w:rPr>
      </w:pPr>
      <w:r>
        <w:rPr>
          <w:rFonts w:ascii="Times New Roman" w:hAnsi="Times New Roman" w:cs="方正小标宋_GBK;微软雅黑" w:hint="eastAsia" w:eastAsia="宋体"/>
        </w:rPr>
        <w:t>《江苏省人民代表大会常务委员会关于加强</w:t>
      </w:r>
    </w:p>
    <w:p>
      <w:pPr>
        <w:pStyle w:val="1"/>
        <w:spacing w:lineRule="exact" w:line="590"/>
        <w:rPr>
          <w:rFonts w:ascii="Times New Roman" w:hAnsi="Times New Roman" w:eastAsia="宋体" w:cs="方正小标宋_GBK;微软雅黑" w:hint="eastAsia"/>
        </w:rPr>
      </w:pPr>
      <w:r>
        <w:rPr>
          <w:rFonts w:ascii="Times New Roman" w:hAnsi="Times New Roman" w:cs="方正小标宋_GBK;微软雅黑" w:hint="eastAsia" w:eastAsia="宋体"/>
        </w:rPr>
        <w:t>对法律法规实施情况检查监督的若干规定》</w:t>
      </w:r>
    </w:p>
    <w:p>
      <w:pPr>
        <w:pStyle w:val="1"/>
        <w:spacing w:lineRule="exact" w:line="590"/>
        <w:rPr>
          <w:rFonts w:ascii="Times New Roman" w:hAnsi="Times New Roman" w:eastAsia="宋体" w:cs="方正小标宋_GBK;微软雅黑" w:hint="eastAsia"/>
        </w:rPr>
      </w:pPr>
      <w:r>
        <w:rPr>
          <w:rFonts w:ascii="Times New Roman" w:hAnsi="Times New Roman" w:cs="方正小标宋_GBK;微软雅黑" w:hint="eastAsia" w:eastAsia="宋体"/>
        </w:rPr>
        <w:t>等两件地方性法规的决定</w:t>
      </w:r>
    </w:p>
    <w:p>
      <w:pPr>
        <w:pStyle w:val="1"/>
        <w:spacing w:lineRule="exact" w:line="590"/>
        <w:rPr>
          <w:rFonts w:ascii="Times New Roman" w:hAnsi="Times New Roman" w:eastAsia="楷体_GB2312" w:cs="Times New Roman"/>
          <w:sz w:val="32"/>
          <w:szCs w:val="32"/>
        </w:rPr>
      </w:pPr>
      <w:r>
        <w:rPr>
          <w:rFonts w:ascii="Times New Roman" w:hAnsi="Times New Roman" w:cs="Times New Roman" w:hint="eastAsia" w:eastAsia="楷体_GB2312"/>
          <w:sz w:val="32"/>
          <w:szCs w:val="32"/>
        </w:rPr>
        <w:t>（</w:t>
      </w:r>
      <w:r>
        <w:rPr>
          <w:rFonts w:eastAsia="楷体_GB2312" w:cs="Times New Roman" w:ascii="Times New Roman" w:hAnsi="Times New Roman"/>
          <w:sz w:val="32"/>
          <w:szCs w:val="32"/>
        </w:rPr>
        <w:t>2022</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7</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29</w:t>
      </w:r>
      <w:r>
        <w:rPr>
          <w:rFonts w:ascii="Times New Roman" w:hAnsi="Times New Roman" w:cs="Times New Roman" w:hint="eastAsia" w:eastAsia="楷体_GB2312"/>
          <w:sz w:val="32"/>
          <w:szCs w:val="32"/>
        </w:rPr>
        <w:t>日江苏省第十三届人民代表大会</w:t>
      </w:r>
    </w:p>
    <w:p>
      <w:pPr>
        <w:pStyle w:val="1"/>
        <w:spacing w:lineRule="exact" w:line="590"/>
        <w:rPr>
          <w:rFonts w:ascii="Times New Roman" w:hAnsi="Times New Roman" w:eastAsia="楷体_GB2312" w:cs="Times New Roman"/>
          <w:sz w:val="32"/>
          <w:szCs w:val="32"/>
        </w:rPr>
      </w:pPr>
      <w:r>
        <w:rPr>
          <w:rFonts w:ascii="Times New Roman" w:hAnsi="Times New Roman" w:cs="Times New Roman" w:hint="eastAsia" w:eastAsia="楷体_GB2312"/>
          <w:sz w:val="32"/>
          <w:szCs w:val="32"/>
        </w:rPr>
        <w:t>常务委员会第三十一次会议通过）</w:t>
      </w:r>
    </w:p>
    <w:p>
      <w:pPr>
        <w:pStyle w:val="1"/>
        <w:spacing w:lineRule="exact" w:line="590"/>
        <w:rPr>
          <w:rFonts w:ascii="Times New Roman" w:hAnsi="Times New Roman" w:eastAsia="方正小标宋_GBK;微软雅黑" w:cs="方正小标宋_GBK;微软雅黑" w:hint="eastAsia"/>
          <w:sz w:val="32"/>
          <w:szCs w:val="32"/>
        </w:rPr>
      </w:pPr>
      <w:r>
        <w:rPr>
          <w:rFonts w:eastAsia="方正小标宋_GBK;微软雅黑" w:cs="方正小标宋_GBK;微软雅黑" w:hint="eastAsia" w:ascii="Times New Roman" w:hAnsi="Times New Roman"/>
          <w:sz w:val="32"/>
          <w:szCs w:val="32"/>
        </w:rPr>
      </w:r>
    </w:p>
    <w:p>
      <w:pPr>
        <w:pStyle w:val="Normal"/>
        <w:ind w:endChars="0" w:end="0"/>
        <w:rPr>
          <w:rFonts w:ascii="Times New Roman" w:hAnsi="Times New Roman" w:cs="Times New Roman"/>
          <w:szCs w:val="32"/>
        </w:rPr>
      </w:pPr>
      <w:r>
        <w:rPr>
          <w:rFonts w:ascii="Times New Roman" w:hAnsi="Times New Roman" w:cs="Times New Roman" w:hint="eastAsia"/>
          <w:szCs w:val="32"/>
        </w:rPr>
        <w:t>江苏省第十三届人民代表大会常务委员会第三十一次会议决定，</w:t>
      </w:r>
      <w:r>
        <w:rPr>
          <w:rFonts w:ascii="Times New Roman" w:hAnsi="Times New Roman" w:cs="仿宋_GB2312"/>
          <w:szCs w:val="32"/>
        </w:rPr>
        <w:t>废止《江苏省人民代表大会常务委员会关于加强对法律法规实施情况检查监督的若干规定》《江苏省授予荣誉居民称号条例》</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本决定自公布之日起</w:t>
      </w:r>
      <w:r>
        <w:rPr>
          <w:rFonts w:ascii="Times New Roman" w:hAnsi="Times New Roman" w:cs="Times New Roman" w:hint="eastAsia"/>
          <w:szCs w:val="32"/>
        </w:rPr>
        <w:t>生效</w:t>
      </w:r>
      <w:r>
        <w:rPr>
          <w:rFonts w:ascii="Times New Roman" w:hAnsi="Times New Roman" w:cs="Times New Roman"/>
          <w:szCs w:val="32"/>
        </w:rPr>
        <w:t>。</w:t>
      </w:r>
    </w:p>
    <w:p>
      <w:pPr>
        <w:pStyle w:val="Default"/>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Default"/>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outside</wp:align>
              </wp:positionH>
              <wp:positionV relativeFrom="paragraph">
                <wp:posOffset>635</wp:posOffset>
              </wp:positionV>
              <wp:extent cx="624840" cy="20955"/>
              <wp:effectExtent l="0" t="0" r="0" b="0"/>
              <wp:wrapSquare wrapText="bothSides"/>
              <wp:docPr id="1" name="Frame3"/>
              <a:graphic xmlns:a="http://schemas.openxmlformats.org/drawingml/2006/main">
                <a:graphicData uri="http://schemas.microsoft.com/office/word/2010/wordprocessingShape">
                  <wps:wsp>
                    <wps:cNvSpPr txBox="1"/>
                    <wps:spPr>
                      <a:xfrm>
                        <a:off x="0" y="0"/>
                        <a:ext cx="624840" cy="20955"/>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2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标题3"/>
    <w:basedOn w:val="Normal"/>
    <w:next w:val="Normal"/>
    <w:qFormat/>
    <w:pPr/>
    <w:rPr>
      <w:rFonts w:ascii="方正黑体简体" w:hAnsi="方正黑体简体" w:eastAsia="方正黑体简体"/>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4">
    <w:name w:val="标题4"/>
    <w:basedOn w:val="3"/>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2022-08-17T14:11:00Z</dcterms:created>
  <dc:creator>admin</dc:creator>
  <dc:description/>
  <dc:language>en-US</dc:language>
  <cp:lastModifiedBy>何正喜</cp:lastModifiedBy>
  <cp:lastPrinted>2022-06-13T15:57:00Z</cp:lastPrinted>
  <dcterms:modified xsi:type="dcterms:W3CDTF">2022-08-29T17:46:45Z</dcterms:modified>
  <cp:revision>30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