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1"/>
        <w:spacing w:lineRule="exact" w:line="590"/>
        <w:rPr>
          <w:rFonts w:ascii="Times New Roman" w:hAnsi="Times New Roman" w:eastAsia="宋体" w:cs="Times New Roman" w:hint="eastAsia"/>
          <w:color w:val="000000"/>
        </w:rPr>
      </w:pPr>
      <w:r>
        <w:rPr>
          <w:rFonts w:ascii="Times New Roman" w:hAnsi="Times New Roman" w:cs="Times New Roman" w:hint="eastAsia" w:eastAsia="宋体"/>
          <w:color w:val="000000"/>
        </w:rPr>
        <w:t>南通市畜禽养殖污染防治条例</w:t>
      </w:r>
    </w:p>
    <w:p>
      <w:pPr>
        <w:pStyle w:val="Normal"/>
        <w:ind w:endChars="0" w:end="0"/>
        <w:rPr>
          <w:rFonts w:ascii="Times New Roman" w:hAnsi="Times New Roman" w:eastAsia="宋体" w:cs="Times New Roman" w:hint="eastAsia"/>
          <w:color w:val="000000"/>
        </w:rPr>
      </w:pPr>
      <w:r>
        <w:rPr>
          <w:rFonts w:eastAsia="宋体" w:cs="Times New Roman" w:hint="eastAsia" w:ascii="Times New Roman" w:hAnsi="Times New Roman"/>
          <w:color w:val="000000"/>
        </w:rPr>
      </w:r>
    </w:p>
    <w:p>
      <w:pPr>
        <w:pStyle w:val="Normal"/>
        <w:tabs>
          <w:tab w:val="clear" w:pos="425"/>
          <w:tab w:val="left" w:pos="3472" w:leader="none"/>
        </w:tabs>
        <w:ind w:firstLineChars="0" w:firstLine="0" w:startChars="200" w:endChars="200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eastAsia="楷体_GB2312"/>
          <w:szCs w:val="32"/>
        </w:rPr>
        <w:t>（</w:t>
      </w:r>
      <w:r>
        <w:rPr>
          <w:rFonts w:eastAsia="楷体_GB2312" w:cs="Times New Roman" w:ascii="Times New Roman" w:hAnsi="Times New Roman"/>
          <w:szCs w:val="32"/>
        </w:rPr>
        <w:t>201</w:t>
      </w:r>
      <w:r>
        <w:rPr>
          <w:rFonts w:eastAsia="楷体_GB2312" w:cs="Times New Roman" w:hint="eastAsia" w:ascii="Times New Roman" w:hAnsi="Times New Roman"/>
          <w:szCs w:val="32"/>
        </w:rPr>
        <w:t>9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3</w:t>
      </w:r>
      <w:r>
        <w:rPr>
          <w:rFonts w:ascii="Times New Roman" w:hAnsi="Times New Roman" w:cs="Times New Roman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27</w:t>
      </w:r>
      <w:r>
        <w:rPr>
          <w:rFonts w:ascii="Times New Roman" w:hAnsi="Times New Roman" w:cs="Times New Roman" w:eastAsia="楷体_GB2312"/>
          <w:szCs w:val="32"/>
        </w:rPr>
        <w:t>日南通市</w:t>
      </w:r>
      <w:r>
        <w:rPr>
          <w:rFonts w:ascii="Times New Roman" w:hAnsi="Times New Roman" w:cs="Times New Roman" w:hint="eastAsia" w:eastAsia="楷体_GB2312"/>
          <w:szCs w:val="32"/>
        </w:rPr>
        <w:t>第</w:t>
      </w:r>
      <w:r>
        <w:rPr>
          <w:rFonts w:ascii="Times New Roman" w:hAnsi="Times New Roman" w:cs="Times New Roman" w:eastAsia="楷体_GB2312"/>
          <w:szCs w:val="32"/>
        </w:rPr>
        <w:t>十五届人民代表大会常务委员会第</w:t>
      </w:r>
      <w:r>
        <w:rPr>
          <w:rFonts w:ascii="Times New Roman" w:hAnsi="Times New Roman" w:cs="Times New Roman" w:hint="eastAsia" w:eastAsia="楷体_GB2312"/>
          <w:szCs w:val="32"/>
        </w:rPr>
        <w:t>二十</w:t>
      </w:r>
      <w:r>
        <w:rPr>
          <w:rFonts w:ascii="Times New Roman" w:hAnsi="Times New Roman" w:cs="Times New Roman" w:eastAsia="楷体_GB2312"/>
          <w:szCs w:val="32"/>
        </w:rPr>
        <w:t>次会议</w:t>
      </w:r>
      <w:r>
        <w:rPr>
          <w:rFonts w:ascii="Times New Roman" w:hAnsi="Times New Roman" w:cs="Times New Roman" w:hint="eastAsia" w:eastAsia="楷体_GB2312"/>
          <w:szCs w:val="32"/>
        </w:rPr>
        <w:t xml:space="preserve">通过  </w:t>
      </w:r>
      <w:r>
        <w:rPr>
          <w:rFonts w:eastAsia="楷体_GB2312" w:cs="Times New Roman" w:hint="eastAsia" w:ascii="Times New Roman" w:hAnsi="Times New Roman"/>
          <w:szCs w:val="32"/>
        </w:rPr>
        <w:t>2019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5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30</w:t>
      </w:r>
      <w:r>
        <w:rPr>
          <w:rFonts w:ascii="Times New Roman" w:hAnsi="Times New Roman" w:cs="Times New Roman" w:hint="eastAsia" w:eastAsia="楷体_GB2312"/>
          <w:szCs w:val="32"/>
        </w:rPr>
        <w:t>日江苏省第十三届人民代表大会常务委员会第九次会议批准</w:t>
      </w:r>
      <w:r>
        <w:rPr>
          <w:rFonts w:ascii="Times New Roman" w:hAnsi="Times New Roman" w:cs="Times New Roman" w:eastAsia="楷体_GB2312"/>
          <w:szCs w:val="32"/>
        </w:rPr>
        <w:t>）</w:t>
      </w:r>
    </w:p>
    <w:p>
      <w:pPr>
        <w:pStyle w:val="p0"/>
        <w:widowControl w:val="false"/>
        <w:ind w:endChars="0" w:end="0"/>
        <w:rPr>
          <w:rFonts w:ascii="Times New Roman" w:hAnsi="Times New Roman" w:eastAsia="楷体_GB2312" w:cs="Times New Roman" w:hint="eastAsia"/>
          <w:szCs w:val="32"/>
        </w:rPr>
      </w:pPr>
      <w:r>
        <w:rPr>
          <w:rFonts w:eastAsia="楷体_GB2312" w:cs="Times New Roman" w:hint="eastAsia" w:ascii="Times New Roman" w:hAnsi="Times New Roman"/>
          <w:szCs w:val="32"/>
        </w:rPr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第一条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为了防治畜禽养殖污染，推进畜禽养殖废弃物的综合利用和无害化处理，保护和改善环境，保障公众身体健康，根据《中华人民共和国环境保护法》等法律、法规，结合本市实际，制定本条例。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第二条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本条例适用于本市行政区域内畜禽养殖专业户、畜禽散养户等规模以下养殖的污染防治。畜禽养殖专业户、畜禽散养户的认定标准由市人民政府公布。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畜禽规模养殖污染防治依照国务院《畜禽规模养殖污染防治条例》执行。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 xml:space="preserve">第三条 </w:t>
      </w:r>
      <w:r>
        <w:rPr>
          <w:rFonts w:ascii="Times New Roman" w:hAnsi="Times New Roman" w:cs="Times New Roman" w:hint="eastAsia"/>
        </w:rPr>
        <w:t xml:space="preserve"> 市、县级人民政府应当加强对畜禽养殖污染防治工作的组织领导，促进畜禽养殖业持续健康发展。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镇人民政府（街道办事处）应当建立畜禽养殖污染防治网络，定期对辖区内畜禽养殖和污染防治情况进行调查登记，组织实施畜禽养殖废弃物综合利用工作，协助做好畜禽养殖污染防治监督管理工作。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第四条</w:t>
      </w:r>
      <w:r>
        <w:rPr>
          <w:rFonts w:ascii="Times New Roman" w:hAnsi="Times New Roman" w:cs="Times New Roman" w:hint="eastAsia"/>
        </w:rPr>
        <w:t xml:space="preserve">  市、县级生态环境主管部门负责畜禽养殖污染防治的统一监督管理，组织编制畜禽养殖污染防治规划。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市、县级农业农村主管部门负责畜禽养殖废弃物综合利用的指导与服务，组织编制畜牧业发展规划。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其他有关部门按照各自职责，做好畜禽养殖污染防治的相关工作。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 xml:space="preserve">第五条 </w:t>
      </w:r>
      <w:r>
        <w:rPr>
          <w:rFonts w:ascii="Times New Roman" w:hAnsi="Times New Roman" w:cs="Times New Roman" w:hint="eastAsia"/>
        </w:rPr>
        <w:t xml:space="preserve"> 村（居）民委员会可以制定有关畜禽养殖污染防治的村规民约，发现畜禽养殖污染行为的，应当及时制止并向镇人民政府（街道办事处）或者生态环境主管部门报告。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第六条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畜禽养殖专业户、畜禽散养户应当依法履行畜禽养殖污染防治义务。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第七条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县级人民政府应当依法组织划定畜禽禁止养殖区域、限制养殖区域，并向社会公布。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畜禽养殖专业户不得在畜禽禁止养殖区域内从事畜禽养殖活动。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畜禽限制养殖区域内不得新增畜禽养殖专业户，已有的畜禽养殖专业户不得扩大养殖规模。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畜禽禁止养殖区域内已有的畜禽养殖专业户，由县级人民政府依法组织关闭，致使其遭受经济损失的，依法予以补偿。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第八条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spacing w:val="-6"/>
          <w:szCs w:val="32"/>
        </w:rPr>
        <w:t>畜禽养殖专业户从事养殖活动，应当遵守下列规定：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（一）符合畜牧业发展规划、畜禽养殖污染防治规划；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（二）满足动物防疫条件要求；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（三）符合环境保护管理要求；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（四）符合土地管理规定；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（五）法律、法规规定的其他要求。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 xml:space="preserve">第九条 </w:t>
      </w:r>
      <w:r>
        <w:rPr>
          <w:rFonts w:ascii="Times New Roman" w:hAnsi="Times New Roman" w:cs="Times New Roman" w:hint="eastAsia"/>
        </w:rPr>
        <w:t xml:space="preserve"> 畜禽养殖专业户、畜禽散养户应当建设相应的畜禽粪便、污水与雨水分流设施，畜禽粪便、污水的贮存设施，并确保其正常运行。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第十条</w:t>
      </w:r>
      <w:r>
        <w:rPr>
          <w:rFonts w:ascii="Times New Roman" w:hAnsi="Times New Roman" w:cs="Times New Roman" w:hint="eastAsia"/>
        </w:rPr>
        <w:t xml:space="preserve">  畜禽养殖专业户、畜禽散养户应当及时对畜禽粪便、污水等进行收集、贮存、清运，不得渗出、泄漏。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畜禽粪便、污水未经处理或者处理不达标，不得向水体等环境排放。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第十一条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鼓励和支持畜禽养殖专业户、畜禽散养户采取粪肥还田等方式，对畜禽养殖废弃物进行综合利用。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第十二条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县级人民政府应当根据畜禽养殖规模，规划建设畜禽养殖废弃物处理中心，为畜禽养殖单位和个人提供畜禽废弃物处理社会化服务。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镇人民政府（街道办事处）应当根据畜禽养殖污染防治的需要，扶持建立畜禽养殖废弃物收运服务体系，组织建设田间储粪池、输送管网等设施。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鼓励畜禽养殖专业户建设畜禽养殖废弃物处理设施。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第十三条</w:t>
      </w:r>
      <w:r>
        <w:rPr>
          <w:rFonts w:ascii="Times New Roman" w:hAnsi="Times New Roman" w:cs="Times New Roman" w:hint="eastAsia"/>
        </w:rPr>
        <w:t xml:space="preserve">  对染疫畜禽及其粪便、尸体等废弃物，应当依法进行无害化处理，不得随意处置。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第十四条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违反本条例第七条第二款规定的，由生态环境主管部门责令停止违法行为、限期恢复原状，处一万元以上三万元以下的罚款。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违反本条例第七条第三款规定的，由生态环境主管部门责令停止违法行为、限期恢复原状，处二千元以上一万元以下的罚款。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 xml:space="preserve">第十五条 </w:t>
      </w:r>
      <w:r>
        <w:rPr>
          <w:rFonts w:ascii="Times New Roman" w:hAnsi="Times New Roman" w:cs="Times New Roman" w:hint="eastAsia"/>
        </w:rPr>
        <w:t xml:space="preserve"> 违反本条例第九条规定的，由生态环境主管部门责令改正，处五百元以上二千元以下的罚款。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第十六条</w:t>
      </w:r>
      <w:r>
        <w:rPr>
          <w:rFonts w:ascii="Times New Roman" w:hAnsi="Times New Roman" w:cs="Times New Roman" w:hint="eastAsia" w:eastAsia="方正黑体_GBK;微软雅黑"/>
        </w:rPr>
        <w:t xml:space="preserve"> </w:t>
      </w:r>
      <w:r>
        <w:rPr>
          <w:rFonts w:ascii="Times New Roman" w:hAnsi="Times New Roman" w:cs="Times New Roman" w:hint="eastAsia"/>
        </w:rPr>
        <w:t xml:space="preserve"> 违反本条例第十条第一款规定的，由生态环境主管部门责令改正，处一千元以上五千元以下的罚款。</w:t>
      </w:r>
    </w:p>
    <w:p>
      <w:pPr>
        <w:pStyle w:val="p0"/>
        <w:widowControl w:val="false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违反本条例第十条第二款规定，向水体排放的，由生态环境主管部门责令改正，处二万元以上五万元以下的罚款；向其他环境排放的，由生态环境主管部门责令改正，处五千元以上二万元以下的罚款。</w:t>
      </w:r>
    </w:p>
    <w:p>
      <w:pPr>
        <w:pStyle w:val="p0"/>
        <w:widowControl w:val="false"/>
        <w:numPr>
          <w:ilvl w:val="0"/>
          <w:numId w:val="2"/>
        </w:numPr>
        <w:ind w:firstLineChars="0" w:firstLine="0" w:startChars="0" w:start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  <w:t xml:space="preserve"> </w:t>
      </w:r>
      <w:r>
        <w:rPr>
          <w:rFonts w:ascii="Times New Roman" w:hAnsi="Times New Roman" w:cs="Times New Roman" w:hint="eastAsia"/>
        </w:rPr>
        <w:t>本条例自</w:t>
      </w:r>
      <w:r>
        <w:rPr>
          <w:rFonts w:cs="Times New Roman" w:hint="eastAsia" w:ascii="Times New Roman" w:hAnsi="Times New Roman"/>
        </w:rPr>
        <w:t>2019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10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日起施行。</w:t>
      </w:r>
    </w:p>
    <w:p>
      <w:pPr>
        <w:pStyle w:val="p0"/>
        <w:widowControl w:val="false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p0"/>
        <w:widowControl w:val="false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p0"/>
        <w:widowControl w:val="false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黑体">
    <w:charset w:val="86"/>
    <w:family w:val="auto"/>
    <w:pitch w:val="default"/>
  </w:font>
  <w:font w:name="ˎ̥">
    <w:altName w:val="仿宋_GB2312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方正黑体简体">
    <w:charset w:val="86"/>
    <w:family w:val="script"/>
    <w:pitch w:val="default"/>
  </w:font>
  <w:font w:name="Cambria">
    <w:charset w:val="00" w:characterSet="windows-1252"/>
    <w:family w:val="roman"/>
    <w:pitch w:val="default"/>
  </w:font>
  <w:font w:name="仿宋_GB2312">
    <w:charset w:val="86"/>
    <w:family w:val="modern"/>
    <w:pitch w:val="default"/>
  </w:font>
  <w:font w:name="方正小标宋_GBK">
    <w:altName w:val="微软雅黑"/>
    <w:charset w:val="86"/>
    <w:family w:val="auto"/>
    <w:pitch w:val="default"/>
  </w:font>
  <w:font w:name="方正楷体_GBK">
    <w:altName w:val="微软雅黑"/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Tahom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7"/>
      <w:numFmt w:val="chineseCountingThousand"/>
      <w:suff w:val="space"/>
      <w:lvlText w:val="第%1条"/>
      <w:lvlJc w:val="start"/>
      <w:pPr>
        <w:tabs>
          <w:tab w:val="num" w:pos="0"/>
        </w:tabs>
        <w:ind w:start="0" w:hanging="0"/>
      </w:pPr>
      <w:rPr>
        <w:rFonts w:ascii="黑体" w:hAnsi="黑体" w:eastAsia="黑体" w:hint="eastAsi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WW8Num1z0">
    <w:name w:val="WW8Num1z0"/>
    <w:qFormat/>
    <w:rPr>
      <w:rFonts w:ascii="黑体" w:hAnsi="黑体" w:eastAsia="黑体" w:hint="eastAsia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仿宋_GB2312" w:hAnsi="ˎ̥;仿宋_GB2312" w:cs="ˎ̥;仿宋_GB2312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apple-converted-space">
    <w:name w:val="apple-converted-space"/>
    <w:basedOn w:val="Style11"/>
    <w:qFormat/>
    <w:rPr>
      <w:rFonts w:ascii="Arial" w:hAnsi="Arial" w:eastAsia="Times New Roman" w:cs="Verdana"/>
      <w:b/>
      <w:kern w:val="0"/>
      <w:sz w:val="24"/>
      <w:szCs w:val="32"/>
      <w:lang w:eastAsia="en-US"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txt161">
    <w:name w:val="txt_161"/>
    <w:basedOn w:val="Style11"/>
    <w:qFormat/>
    <w:rPr>
      <w:b/>
      <w:color w:val="000000"/>
      <w:sz w:val="30"/>
      <w:szCs w:val="30"/>
      <w:u w:val="none"/>
    </w:rPr>
  </w:style>
  <w:style w:type="character" w:styleId="3Char">
    <w:name w:val="标题3 Char"/>
    <w:qFormat/>
    <w:rPr>
      <w:rFonts w:ascii="方正黑体简体" w:hAnsi="方正黑体简体" w:eastAsia="方正黑体简体" w:cs="Times;Times New Roman"/>
      <w:kern w:val="2"/>
      <w:sz w:val="32"/>
      <w:lang w:bidi="ar-SA"/>
    </w:rPr>
  </w:style>
  <w:style w:type="character" w:styleId="PlainTextChar">
    <w:name w:val="Plain Text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2">
    <w:name w:val="正文文本 (2)"/>
    <w:qFormat/>
    <w:rPr>
      <w:rFonts w:ascii="宋体" w:hAnsi="宋体" w:cs="宋体"/>
      <w:color w:val="4E4E4E"/>
      <w:spacing w:val="20"/>
      <w:sz w:val="28"/>
      <w:szCs w:val="28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Times New Roman" w:cs="Cambria"/>
      <w:b/>
      <w:lang w:val="en-US" w:eastAsia="en-US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1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CharChar1CharChar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211">
    <w:name w:val="正文文本 (2)1"/>
    <w:basedOn w:val="Normal"/>
    <w:qFormat/>
    <w:pPr>
      <w:shd w:fill="FFFFFF" w:val="clear"/>
      <w:spacing w:lineRule="exact" w:line="624" w:before="240" w:after="0"/>
      <w:jc w:val="distribute"/>
    </w:pPr>
    <w:rPr>
      <w:rFonts w:ascii="宋体" w:hAnsi="宋体" w:eastAsia="宋体" w:cs="宋体"/>
      <w:spacing w:val="20"/>
      <w:sz w:val="28"/>
      <w:szCs w:val="28"/>
    </w:rPr>
  </w:style>
  <w:style w:type="paragraph" w:styleId="22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p">
    <w:name w:val="p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sz w:val="24"/>
      <w:szCs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11">
    <w:name w:val="样式1"/>
    <w:basedOn w:val="Normal"/>
    <w:qFormat/>
    <w:pPr>
      <w:spacing w:lineRule="atLeast" w:line="760"/>
      <w:jc w:val="center"/>
    </w:pPr>
    <w:rPr>
      <w:rFonts w:eastAsia="方正小标宋简体"/>
      <w:sz w:val="44"/>
      <w:szCs w:val="44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2019-06-18T14:36:00Z</dcterms:created>
  <dc:creator>admin</dc:creator>
  <dc:description/>
  <dc:language>en-US</dc:language>
  <cp:lastModifiedBy>user</cp:lastModifiedBy>
  <cp:lastPrinted>2019-04-16T09:56:00Z</cp:lastPrinted>
  <dcterms:modified xsi:type="dcterms:W3CDTF">2019-07-02T15:26:00Z</dcterms:modified>
  <cp:revision>5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