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eastAsia="方正小标宋简体" w:hint="eastAsia"/>
          <w:spacing w:val="-4"/>
          <w:sz w:val="44"/>
          <w:szCs w:val="44"/>
        </w:rPr>
      </w:pPr>
      <w:r>
        <w:rPr>
          <w:rFonts w:eastAsia="方正小标宋简体" w:hint="eastAsia"/>
          <w:spacing w:val="-4"/>
          <w:sz w:val="44"/>
          <w:szCs w:val="44"/>
        </w:rPr>
      </w:r>
    </w:p>
    <w:p>
      <w:pPr>
        <w:pStyle w:val="Normal"/>
        <w:spacing w:lineRule="exact" w:line="590"/>
        <w:ind w:firstLineChars="0" w:firstLine="0" w:endChars="0" w:end="0"/>
        <w:jc w:val="center"/>
        <w:rPr>
          <w:rFonts w:eastAsia="方正小标宋简体" w:hint="eastAsia"/>
          <w:spacing w:val="-4"/>
          <w:sz w:val="44"/>
          <w:szCs w:val="44"/>
        </w:rPr>
      </w:pPr>
      <w:r>
        <w:rPr>
          <w:rFonts w:eastAsia="方正小标宋简体" w:hint="eastAsia"/>
          <w:spacing w:val="-4"/>
          <w:sz w:val="44"/>
          <w:szCs w:val="44"/>
        </w:rPr>
      </w:r>
    </w:p>
    <w:p>
      <w:pPr>
        <w:pStyle w:val="Normal"/>
        <w:spacing w:lineRule="exact" w:line="590"/>
        <w:ind w:firstLineChars="0" w:firstLine="0" w:endChars="0" w:end="0"/>
        <w:jc w:val="center"/>
        <w:rPr>
          <w:rFonts w:ascii="宋体" w:hAnsi="宋体" w:eastAsia="宋体" w:cs="宋体" w:hint="eastAsia"/>
          <w:spacing w:val="-4"/>
          <w:sz w:val="44"/>
          <w:szCs w:val="44"/>
        </w:rPr>
      </w:pPr>
      <w:r>
        <w:rPr>
          <w:rFonts w:ascii="宋体" w:hAnsi="宋体" w:cs="宋体" w:hint="eastAsia" w:eastAsia="宋体"/>
          <w:spacing w:val="-4"/>
          <w:sz w:val="44"/>
          <w:szCs w:val="44"/>
        </w:rPr>
        <w:t>苏州市终身学习促进条例</w:t>
      </w:r>
    </w:p>
    <w:p>
      <w:pPr>
        <w:pStyle w:val="Normal"/>
        <w:spacing w:lineRule="exact" w:line="590"/>
        <w:ind w:firstLineChars="0" w:firstLine="0" w:startChars="200" w:endChars="200"/>
        <w:rPr>
          <w:rFonts w:ascii="Times New Roman" w:hAnsi="Times New Roman" w:eastAsia="楷体_GB2312" w:cs="Times New Roman" w:hint="eastAsia"/>
          <w:spacing w:val="-4"/>
          <w:sz w:val="44"/>
          <w:szCs w:val="44"/>
        </w:rPr>
      </w:pPr>
      <w:r>
        <w:rPr>
          <w:rFonts w:eastAsia="楷体_GB2312" w:cs="Times New Roman" w:hint="eastAsia" w:ascii="Times New Roman" w:hAnsi="Times New Roman"/>
          <w:spacing w:val="-4"/>
          <w:sz w:val="44"/>
          <w:szCs w:val="44"/>
        </w:rPr>
      </w:r>
    </w:p>
    <w:p>
      <w:pPr>
        <w:pStyle w:val="Normal"/>
        <w:spacing w:lineRule="exact" w:line="590"/>
        <w:ind w:firstLineChars="0" w:firstLine="0" w:startChars="200" w:endChars="200"/>
        <w:rPr>
          <w:rFonts w:ascii="Times New Roman" w:hAnsi="Times New Roman" w:eastAsia="楷体_GB2312" w:cs="Times New Roman"/>
        </w:rPr>
      </w:pPr>
      <w:r>
        <w:rPr>
          <w:rFonts w:ascii="Times New Roman" w:hAnsi="Times New Roman" w:cs="Times New Roman" w:hint="eastAsia" w:eastAsia="楷体_GB2312"/>
        </w:rPr>
        <w:t>（</w:t>
      </w:r>
      <w:r>
        <w:rPr>
          <w:rFonts w:eastAsia="楷体_GB2312" w:cs="Times New Roman" w:ascii="Times New Roman" w:hAnsi="Times New Roman"/>
        </w:rPr>
        <w:t>2022</w:t>
      </w:r>
      <w:r>
        <w:rPr>
          <w:rFonts w:ascii="Times New Roman" w:hAnsi="Times New Roman" w:cs="Times New Roman" w:hint="eastAsia" w:eastAsia="楷体_GB2312"/>
        </w:rPr>
        <w:t>年</w:t>
      </w:r>
      <w:r>
        <w:rPr>
          <w:rFonts w:eastAsia="楷体_GB2312" w:cs="Times New Roman" w:ascii="Times New Roman" w:hAnsi="Times New Roman"/>
        </w:rPr>
        <w:t>12</w:t>
      </w:r>
      <w:r>
        <w:rPr>
          <w:rFonts w:ascii="Times New Roman" w:hAnsi="Times New Roman" w:cs="Times New Roman" w:hint="eastAsia" w:eastAsia="楷体_GB2312"/>
        </w:rPr>
        <w:t>月</w:t>
      </w:r>
      <w:r>
        <w:rPr>
          <w:rFonts w:eastAsia="楷体_GB2312" w:cs="Times New Roman" w:ascii="Times New Roman" w:hAnsi="Times New Roman"/>
        </w:rPr>
        <w:t>30</w:t>
      </w:r>
      <w:r>
        <w:rPr>
          <w:rFonts w:ascii="Times New Roman" w:hAnsi="Times New Roman" w:cs="Times New Roman" w:hint="eastAsia" w:eastAsia="楷体_GB2312"/>
        </w:rPr>
        <w:t>日苏州市第十七届人民代表大会常务委员会第五次会议通过</w:t>
      </w:r>
      <w:r>
        <w:rPr>
          <w:rFonts w:ascii="Times New Roman" w:hAnsi="Times New Roman" w:cs="Times New Roman" w:eastAsia="楷体_GB2312"/>
        </w:rPr>
        <w:t xml:space="preserve">  </w:t>
      </w:r>
      <w:r>
        <w:rPr>
          <w:rFonts w:eastAsia="楷体_GB2312" w:cs="Times New Roman" w:ascii="Times New Roman" w:hAnsi="Times New Roman"/>
        </w:rPr>
        <w:t>2023</w:t>
      </w:r>
      <w:r>
        <w:rPr>
          <w:rFonts w:ascii="Times New Roman" w:hAnsi="Times New Roman" w:cs="Times New Roman" w:hint="eastAsia" w:eastAsia="楷体_GB2312"/>
        </w:rPr>
        <w:t>年</w:t>
      </w:r>
      <w:r>
        <w:rPr>
          <w:rFonts w:eastAsia="楷体_GB2312" w:cs="Times New Roman" w:ascii="Times New Roman" w:hAnsi="Times New Roman"/>
        </w:rPr>
        <w:t>1</w:t>
      </w:r>
      <w:r>
        <w:rPr>
          <w:rFonts w:ascii="Times New Roman" w:hAnsi="Times New Roman" w:cs="Times New Roman" w:hint="eastAsia" w:eastAsia="楷体_GB2312"/>
        </w:rPr>
        <w:t>月</w:t>
      </w:r>
      <w:r>
        <w:rPr>
          <w:rFonts w:eastAsia="楷体_GB2312" w:cs="Times New Roman" w:ascii="Times New Roman" w:hAnsi="Times New Roman"/>
        </w:rPr>
        <w:t>12</w:t>
      </w:r>
      <w:r>
        <w:rPr>
          <w:rFonts w:ascii="Times New Roman" w:hAnsi="Times New Roman" w:cs="Times New Roman" w:hint="eastAsia" w:eastAsia="楷体_GB2312"/>
        </w:rPr>
        <w:t>日江苏省第十三届人民代表大会常务委员会第三十四次会议批准）</w:t>
      </w:r>
    </w:p>
    <w:p>
      <w:pPr>
        <w:pStyle w:val="TOC3"/>
        <w:spacing w:lineRule="exact" w:line="590"/>
        <w:ind w:endChars="0" w:end="0"/>
        <w:jc w:val="center"/>
        <w:rPr>
          <w:rFonts w:ascii="Times New Roman" w:hAnsi="Times New Roman" w:eastAsia="楷体_GB2312" w:cs="Times New Roman"/>
          <w:b w:val="false"/>
          <w:spacing w:val="-4"/>
          <w:sz w:val="32"/>
          <w:szCs w:val="32"/>
        </w:rPr>
      </w:pPr>
      <w:r>
        <w:rPr>
          <w:rFonts w:eastAsia="楷体_GB2312" w:cs="Times New Roman" w:ascii="Times New Roman" w:hAnsi="Times New Roman"/>
          <w:b w:val="false"/>
          <w:spacing w:val="-4"/>
          <w:sz w:val="32"/>
          <w:szCs w:val="32"/>
        </w:rPr>
      </w:r>
    </w:p>
    <w:p>
      <w:pPr>
        <w:pStyle w:val="TOC3"/>
        <w:spacing w:lineRule="exact" w:line="590"/>
        <w:ind w:firstLineChars="0" w:firstLine="0" w:endChars="0" w:end="0"/>
        <w:jc w:val="center"/>
        <w:rPr>
          <w:rFonts w:ascii="Times New Roman" w:hAnsi="Times New Roman" w:eastAsia="楷体_GB2312" w:cs="Times New Roman"/>
          <w:b w:val="false"/>
          <w:spacing w:val="-4"/>
          <w:sz w:val="32"/>
          <w:szCs w:val="32"/>
        </w:rPr>
      </w:pPr>
      <w:r>
        <w:rPr>
          <w:rFonts w:ascii="Times New Roman" w:hAnsi="Times New Roman" w:cs="Times New Roman" w:hint="eastAsia" w:eastAsia="楷体_GB2312"/>
          <w:b w:val="false"/>
          <w:spacing w:val="-4"/>
          <w:sz w:val="32"/>
          <w:szCs w:val="32"/>
        </w:rPr>
        <w:t>目</w:t>
      </w:r>
      <w:r>
        <w:rPr>
          <w:rFonts w:ascii="Times New Roman" w:hAnsi="Times New Roman" w:cs="Times New Roman" w:eastAsia="楷体_GB2312"/>
          <w:b w:val="false"/>
          <w:spacing w:val="-4"/>
          <w:sz w:val="32"/>
          <w:szCs w:val="32"/>
        </w:rPr>
        <w:t xml:space="preserve">  </w:t>
      </w:r>
      <w:r>
        <w:rPr>
          <w:rFonts w:ascii="Times New Roman" w:hAnsi="Times New Roman" w:cs="Times New Roman" w:hint="eastAsia" w:eastAsia="楷体_GB2312"/>
          <w:b w:val="false"/>
          <w:spacing w:val="-4"/>
          <w:sz w:val="32"/>
          <w:szCs w:val="32"/>
        </w:rPr>
        <w:t>录</w:t>
      </w:r>
    </w:p>
    <w:p>
      <w:pPr>
        <w:pStyle w:val="Normal"/>
        <w:spacing w:lineRule="exact" w:line="590"/>
        <w:ind w:endChars="0" w:end="0"/>
        <w:rPr>
          <w:rFonts w:eastAsia="楷体_GB2312"/>
          <w:spacing w:val="-4"/>
          <w:szCs w:val="32"/>
        </w:rPr>
      </w:pPr>
      <w:r>
        <w:rPr>
          <w:rFonts w:hint="eastAsia" w:eastAsia="楷体_GB2312"/>
          <w:spacing w:val="-4"/>
          <w:szCs w:val="32"/>
        </w:rPr>
        <w:t>第一章</w:t>
      </w:r>
      <w:r>
        <w:rPr>
          <w:rFonts w:eastAsia="楷体_GB2312"/>
          <w:spacing w:val="-4"/>
          <w:szCs w:val="32"/>
        </w:rPr>
        <w:t xml:space="preserve">  </w:t>
      </w:r>
      <w:r>
        <w:rPr>
          <w:rFonts w:hint="eastAsia" w:eastAsia="楷体_GB2312"/>
          <w:spacing w:val="-4"/>
          <w:szCs w:val="32"/>
        </w:rPr>
        <w:t>总则</w:t>
      </w:r>
    </w:p>
    <w:p>
      <w:pPr>
        <w:pStyle w:val="Normal"/>
        <w:spacing w:lineRule="exact" w:line="590"/>
        <w:ind w:endChars="0" w:end="0"/>
        <w:rPr>
          <w:rFonts w:eastAsia="楷体_GB2312"/>
          <w:spacing w:val="-4"/>
          <w:szCs w:val="32"/>
        </w:rPr>
      </w:pPr>
      <w:r>
        <w:rPr>
          <w:rFonts w:hint="eastAsia" w:eastAsia="楷体_GB2312"/>
          <w:spacing w:val="-4"/>
          <w:szCs w:val="32"/>
        </w:rPr>
        <w:t>第二章</w:t>
      </w:r>
      <w:r>
        <w:rPr>
          <w:rFonts w:eastAsia="楷体_GB2312"/>
          <w:spacing w:val="-4"/>
          <w:szCs w:val="32"/>
        </w:rPr>
        <w:t xml:space="preserve">  </w:t>
      </w:r>
      <w:r>
        <w:rPr>
          <w:rFonts w:hint="eastAsia" w:eastAsia="楷体_GB2312"/>
          <w:spacing w:val="-4"/>
          <w:szCs w:val="32"/>
        </w:rPr>
        <w:t>学习权利</w:t>
      </w:r>
    </w:p>
    <w:p>
      <w:pPr>
        <w:pStyle w:val="Normal"/>
        <w:spacing w:lineRule="exact" w:line="590"/>
        <w:ind w:endChars="0" w:end="0"/>
        <w:rPr>
          <w:rFonts w:eastAsia="楷体_GB2312"/>
          <w:spacing w:val="-4"/>
          <w:szCs w:val="32"/>
        </w:rPr>
      </w:pPr>
      <w:r>
        <w:rPr>
          <w:rFonts w:hint="eastAsia" w:eastAsia="楷体_GB2312"/>
          <w:spacing w:val="-4"/>
          <w:szCs w:val="32"/>
        </w:rPr>
        <w:t>第三章</w:t>
      </w:r>
      <w:r>
        <w:rPr>
          <w:rFonts w:eastAsia="楷体_GB2312"/>
          <w:spacing w:val="-4"/>
          <w:szCs w:val="32"/>
        </w:rPr>
        <w:t xml:space="preserve">  </w:t>
      </w:r>
      <w:r>
        <w:rPr>
          <w:rFonts w:hint="eastAsia" w:eastAsia="楷体_GB2312"/>
          <w:spacing w:val="-4"/>
          <w:szCs w:val="32"/>
        </w:rPr>
        <w:t>政府推进</w:t>
      </w:r>
    </w:p>
    <w:p>
      <w:pPr>
        <w:pStyle w:val="Normal"/>
        <w:spacing w:lineRule="exact" w:line="590"/>
        <w:ind w:endChars="0" w:end="0"/>
        <w:rPr>
          <w:rFonts w:eastAsia="楷体_GB2312"/>
          <w:spacing w:val="-4"/>
          <w:szCs w:val="32"/>
        </w:rPr>
      </w:pPr>
      <w:r>
        <w:rPr>
          <w:rFonts w:hint="eastAsia" w:eastAsia="楷体_GB2312"/>
          <w:spacing w:val="-4"/>
          <w:szCs w:val="32"/>
        </w:rPr>
        <w:t>第四章</w:t>
      </w:r>
      <w:r>
        <w:rPr>
          <w:rFonts w:eastAsia="楷体_GB2312"/>
          <w:spacing w:val="-4"/>
          <w:szCs w:val="32"/>
        </w:rPr>
        <w:t xml:space="preserve">  </w:t>
      </w:r>
      <w:r>
        <w:rPr>
          <w:rFonts w:hint="eastAsia" w:eastAsia="楷体_GB2312"/>
          <w:spacing w:val="-4"/>
          <w:szCs w:val="32"/>
        </w:rPr>
        <w:t>社会参与</w:t>
      </w:r>
    </w:p>
    <w:p>
      <w:pPr>
        <w:pStyle w:val="Normal"/>
        <w:spacing w:lineRule="exact" w:line="590"/>
        <w:ind w:endChars="0" w:end="0"/>
        <w:rPr>
          <w:rFonts w:eastAsia="楷体_GB2312"/>
          <w:spacing w:val="-4"/>
          <w:szCs w:val="32"/>
        </w:rPr>
      </w:pPr>
      <w:r>
        <w:rPr>
          <w:rFonts w:hint="eastAsia" w:eastAsia="楷体_GB2312"/>
          <w:spacing w:val="-4"/>
          <w:szCs w:val="32"/>
        </w:rPr>
        <w:t>第五章</w:t>
      </w:r>
      <w:r>
        <w:rPr>
          <w:rFonts w:eastAsia="楷体_GB2312"/>
          <w:spacing w:val="-4"/>
          <w:szCs w:val="32"/>
        </w:rPr>
        <w:t xml:space="preserve">  </w:t>
      </w:r>
      <w:r>
        <w:rPr>
          <w:rFonts w:hint="eastAsia" w:eastAsia="楷体_GB2312"/>
          <w:spacing w:val="-4"/>
          <w:szCs w:val="32"/>
        </w:rPr>
        <w:t>保障促进</w:t>
      </w:r>
    </w:p>
    <w:p>
      <w:pPr>
        <w:pStyle w:val="Normal"/>
        <w:spacing w:lineRule="exact" w:line="590"/>
        <w:ind w:endChars="0" w:end="0"/>
        <w:rPr>
          <w:rFonts w:eastAsia="楷体_GB2312"/>
          <w:spacing w:val="-4"/>
          <w:szCs w:val="32"/>
        </w:rPr>
      </w:pPr>
      <w:r>
        <w:rPr>
          <w:rFonts w:hint="eastAsia" w:eastAsia="楷体_GB2312"/>
          <w:spacing w:val="-4"/>
          <w:szCs w:val="32"/>
        </w:rPr>
        <w:t>第六章</w:t>
      </w:r>
      <w:r>
        <w:rPr>
          <w:rFonts w:eastAsia="楷体_GB2312"/>
          <w:spacing w:val="-4"/>
          <w:szCs w:val="32"/>
        </w:rPr>
        <w:t xml:space="preserve">  </w:t>
      </w:r>
      <w:r>
        <w:rPr>
          <w:rFonts w:hint="eastAsia" w:eastAsia="楷体_GB2312"/>
          <w:spacing w:val="-4"/>
          <w:szCs w:val="32"/>
        </w:rPr>
        <w:t>附则</w:t>
      </w:r>
    </w:p>
    <w:p>
      <w:pPr>
        <w:pStyle w:val="Normal"/>
        <w:spacing w:lineRule="exact" w:line="590"/>
        <w:ind w:endChars="0" w:end="0"/>
        <w:rPr>
          <w:rFonts w:eastAsia="楷体_GB2312"/>
          <w:spacing w:val="-4"/>
          <w:szCs w:val="32"/>
        </w:rPr>
      </w:pPr>
      <w:r>
        <w:rPr>
          <w:rFonts w:eastAsia="楷体_GB2312"/>
          <w:spacing w:val="-4"/>
          <w:szCs w:val="32"/>
        </w:rPr>
      </w:r>
    </w:p>
    <w:p>
      <w:pPr>
        <w:pStyle w:val="Normal"/>
        <w:spacing w:lineRule="exact" w:line="590"/>
        <w:ind w:firstLineChars="0" w:firstLine="0" w:endChars="0" w:end="0"/>
        <w:jc w:val="center"/>
        <w:rPr>
          <w:rFonts w:eastAsia="黑体"/>
          <w:spacing w:val="-4"/>
          <w:szCs w:val="32"/>
        </w:rPr>
      </w:pPr>
      <w:r>
        <w:rPr>
          <w:rFonts w:hint="eastAsia" w:eastAsia="黑体"/>
          <w:spacing w:val="-4"/>
          <w:szCs w:val="32"/>
        </w:rPr>
        <w:t>第一章</w:t>
      </w:r>
      <w:r>
        <w:rPr>
          <w:rFonts w:eastAsia="黑体"/>
          <w:spacing w:val="-4"/>
          <w:szCs w:val="32"/>
        </w:rPr>
        <w:t xml:space="preserve">  </w:t>
      </w:r>
      <w:r>
        <w:rPr>
          <w:rFonts w:hint="eastAsia" w:eastAsia="黑体"/>
          <w:spacing w:val="-4"/>
          <w:szCs w:val="32"/>
        </w:rPr>
        <w:t>总则</w:t>
      </w:r>
    </w:p>
    <w:p>
      <w:pPr>
        <w:pStyle w:val="Normal"/>
        <w:spacing w:lineRule="exact" w:line="590"/>
        <w:ind w:endChars="0" w:end="0"/>
        <w:rPr>
          <w:rFonts w:eastAsia="黑体" w:hint="eastAsia"/>
          <w:spacing w:val="-4"/>
          <w:szCs w:val="32"/>
        </w:rPr>
      </w:pPr>
      <w:r>
        <w:rPr>
          <w:rFonts w:eastAsia="黑体" w:hint="eastAsia"/>
          <w:spacing w:val="-4"/>
          <w:szCs w:val="32"/>
        </w:rPr>
      </w:r>
    </w:p>
    <w:p>
      <w:pPr>
        <w:pStyle w:val="Normal"/>
        <w:spacing w:lineRule="exact" w:line="590"/>
        <w:ind w:endChars="0" w:end="0"/>
        <w:rPr>
          <w:spacing w:val="-4"/>
          <w:szCs w:val="32"/>
        </w:rPr>
      </w:pPr>
      <w:r>
        <w:rPr>
          <w:rFonts w:hint="eastAsia" w:eastAsia="黑体"/>
          <w:spacing w:val="-4"/>
          <w:szCs w:val="32"/>
        </w:rPr>
        <w:t>第一条</w:t>
      </w:r>
      <w:r>
        <w:rPr>
          <w:rFonts w:eastAsia="黑体"/>
          <w:spacing w:val="-4"/>
          <w:szCs w:val="32"/>
        </w:rPr>
        <w:t xml:space="preserve">  </w:t>
      </w:r>
      <w:r>
        <w:rPr>
          <w:rFonts w:hint="eastAsia"/>
          <w:spacing w:val="-4"/>
          <w:szCs w:val="32"/>
        </w:rPr>
        <w:t>为了构建服务全民的终身学习体系，保障市民终身学习的权利，推动市民终身学习，促进人的全面发展，推进学习型社会建设，根据《中华人民共和国教育法》等法律、法规，结合本市实际，制定本条例。</w:t>
      </w:r>
    </w:p>
    <w:p>
      <w:pPr>
        <w:pStyle w:val="Normal"/>
        <w:spacing w:lineRule="exact" w:line="590"/>
        <w:ind w:endChars="0" w:end="0"/>
        <w:rPr>
          <w:spacing w:val="-4"/>
          <w:szCs w:val="32"/>
        </w:rPr>
      </w:pPr>
      <w:r>
        <w:rPr>
          <w:rFonts w:hint="eastAsia" w:eastAsia="黑体"/>
          <w:spacing w:val="-4"/>
          <w:szCs w:val="32"/>
        </w:rPr>
        <w:t>第二条</w:t>
      </w:r>
      <w:r>
        <w:rPr>
          <w:rFonts w:eastAsia="黑体"/>
          <w:spacing w:val="-4"/>
          <w:szCs w:val="32"/>
        </w:rPr>
        <w:t xml:space="preserve">  </w:t>
      </w:r>
      <w:r>
        <w:rPr>
          <w:rFonts w:hint="eastAsia"/>
          <w:spacing w:val="-4"/>
          <w:szCs w:val="32"/>
        </w:rPr>
        <w:t>本市行政区域内终身学习促进工作及其相关活动，适用本条例。</w:t>
      </w:r>
    </w:p>
    <w:p>
      <w:pPr>
        <w:pStyle w:val="Normal"/>
        <w:spacing w:lineRule="exact" w:line="590"/>
        <w:ind w:endChars="0" w:end="0"/>
        <w:rPr>
          <w:spacing w:val="-4"/>
          <w:szCs w:val="32"/>
        </w:rPr>
      </w:pPr>
      <w:r>
        <w:rPr>
          <w:rFonts w:hint="eastAsia"/>
          <w:spacing w:val="-4"/>
          <w:szCs w:val="32"/>
        </w:rPr>
        <w:t>法律、法规对终身学习涉及的各级各类教育另有规定的，从其规定。</w:t>
      </w:r>
    </w:p>
    <w:p>
      <w:pPr>
        <w:pStyle w:val="Normal"/>
        <w:spacing w:lineRule="exact" w:line="590"/>
        <w:ind w:endChars="0" w:end="0"/>
        <w:rPr>
          <w:spacing w:val="-4"/>
          <w:szCs w:val="32"/>
        </w:rPr>
      </w:pPr>
      <w:r>
        <w:rPr>
          <w:rFonts w:hint="eastAsia" w:eastAsia="黑体"/>
          <w:spacing w:val="-4"/>
          <w:szCs w:val="32"/>
        </w:rPr>
        <w:t>第三条</w:t>
      </w:r>
      <w:r>
        <w:rPr>
          <w:rFonts w:eastAsia="黑体"/>
          <w:spacing w:val="-4"/>
          <w:szCs w:val="32"/>
        </w:rPr>
        <w:t xml:space="preserve">  </w:t>
      </w:r>
      <w:r>
        <w:rPr>
          <w:rFonts w:hint="eastAsia"/>
          <w:spacing w:val="-4"/>
          <w:szCs w:val="32"/>
        </w:rPr>
        <w:t>终身学习促进工作应当坚持政府主导、社会协同、全民参与、资源共享的原则。</w:t>
      </w:r>
    </w:p>
    <w:p>
      <w:pPr>
        <w:pStyle w:val="TOC3"/>
        <w:spacing w:lineRule="exact" w:line="590"/>
        <w:ind w:endChars="0" w:end="0"/>
        <w:rPr>
          <w:rFonts w:ascii="Times New Roman" w:hAnsi="Times New Roman" w:eastAsia="仿宋_GB2312" w:cs="Times New Roman"/>
          <w:b w:val="false"/>
          <w:spacing w:val="-4"/>
          <w:sz w:val="32"/>
          <w:szCs w:val="32"/>
        </w:rPr>
      </w:pPr>
      <w:r>
        <w:rPr>
          <w:rFonts w:ascii="Times New Roman" w:hAnsi="Times New Roman" w:cs="Times New Roman" w:hint="eastAsia" w:eastAsia="仿宋_GB2312"/>
          <w:b w:val="false"/>
          <w:spacing w:val="-4"/>
          <w:sz w:val="32"/>
          <w:szCs w:val="32"/>
        </w:rPr>
        <w:t>终身学习促进工作应当坚持立德树人，培育和践行社会主义核心价值观，传承和弘扬中华优秀传统文化，提高全民综合素质。</w:t>
      </w:r>
    </w:p>
    <w:p>
      <w:pPr>
        <w:pStyle w:val="Normal"/>
        <w:spacing w:lineRule="exact" w:line="590"/>
        <w:ind w:endChars="0" w:end="0"/>
        <w:rPr>
          <w:spacing w:val="-4"/>
          <w:szCs w:val="32"/>
        </w:rPr>
      </w:pPr>
      <w:r>
        <w:rPr>
          <w:rFonts w:hint="eastAsia" w:eastAsia="黑体"/>
          <w:spacing w:val="-4"/>
          <w:szCs w:val="32"/>
        </w:rPr>
        <w:t>第四条</w:t>
      </w:r>
      <w:r>
        <w:rPr>
          <w:rFonts w:eastAsia="黑体"/>
          <w:spacing w:val="-4"/>
          <w:szCs w:val="32"/>
        </w:rPr>
        <w:t xml:space="preserve">  </w:t>
      </w:r>
      <w:r>
        <w:rPr>
          <w:rFonts w:hint="eastAsia"/>
          <w:spacing w:val="-4"/>
          <w:szCs w:val="32"/>
        </w:rPr>
        <w:t>市、县级市（区）人民政府应当加强对终身学习促进工作的领导，建立有关部门共同参与的终身学习促进议事协调机构，负责统筹、协调、指导和推动终身学习促进工作。</w:t>
      </w:r>
    </w:p>
    <w:p>
      <w:pPr>
        <w:pStyle w:val="Normal"/>
        <w:spacing w:lineRule="exact" w:line="590"/>
        <w:ind w:endChars="0" w:end="0"/>
        <w:rPr>
          <w:spacing w:val="-4"/>
          <w:szCs w:val="32"/>
        </w:rPr>
      </w:pPr>
      <w:r>
        <w:rPr>
          <w:rFonts w:hint="eastAsia"/>
          <w:spacing w:val="-4"/>
          <w:szCs w:val="32"/>
        </w:rPr>
        <w:t>镇人民政府、街道办事处应当做好辖区内终身学习促进工作。</w:t>
      </w:r>
    </w:p>
    <w:p>
      <w:pPr>
        <w:pStyle w:val="Normal"/>
        <w:spacing w:lineRule="exact" w:line="590"/>
        <w:ind w:endChars="0" w:end="0"/>
        <w:rPr>
          <w:spacing w:val="-4"/>
          <w:szCs w:val="32"/>
        </w:rPr>
      </w:pPr>
      <w:r>
        <w:rPr>
          <w:rFonts w:hint="eastAsia" w:eastAsia="黑体"/>
          <w:spacing w:val="-4"/>
          <w:szCs w:val="32"/>
        </w:rPr>
        <w:t>第五条</w:t>
      </w:r>
      <w:r>
        <w:rPr>
          <w:rFonts w:eastAsia="黑体"/>
          <w:spacing w:val="-4"/>
          <w:szCs w:val="32"/>
        </w:rPr>
        <w:t xml:space="preserve">  </w:t>
      </w:r>
      <w:r>
        <w:rPr>
          <w:rFonts w:hint="eastAsia"/>
          <w:spacing w:val="-4"/>
          <w:szCs w:val="32"/>
        </w:rPr>
        <w:t>市、县级市（区）教育行政部门是终身学习促进工作的主管部门，负责本级终身学习促进议事协调机构日常工作。</w:t>
      </w:r>
    </w:p>
    <w:p>
      <w:pPr>
        <w:pStyle w:val="Normal"/>
        <w:spacing w:lineRule="exact" w:line="590"/>
        <w:ind w:endChars="0" w:end="0"/>
        <w:rPr>
          <w:spacing w:val="-4"/>
          <w:szCs w:val="32"/>
        </w:rPr>
      </w:pPr>
      <w:r>
        <w:rPr>
          <w:rFonts w:hint="eastAsia"/>
          <w:spacing w:val="-4"/>
          <w:szCs w:val="32"/>
        </w:rPr>
        <w:t>发展和改革、科学技术、工业和信息化、公安、民政、司法行政、财政、人力资源和社会保障、自然资源和规划、园林和绿化管理、交通运输、农业农村、文化广电和旅游、卫生健康、应急管理、市场监督管理、体育等部门，应当按照各自职责做好终身学习促进工作。</w:t>
      </w:r>
    </w:p>
    <w:p>
      <w:pPr>
        <w:pStyle w:val="Normal"/>
        <w:spacing w:lineRule="exact" w:line="590"/>
        <w:ind w:endChars="0" w:end="0"/>
        <w:rPr>
          <w:spacing w:val="-4"/>
          <w:szCs w:val="32"/>
        </w:rPr>
      </w:pPr>
      <w:r>
        <w:rPr>
          <w:rFonts w:hint="eastAsia"/>
          <w:spacing w:val="-4"/>
          <w:szCs w:val="32"/>
        </w:rPr>
        <w:t>工会、共产主义青年团、妇女联合会、文学艺术界联合会、科学技术协会和残疾人联合会等人民团体，应当在各自工作范围内做好终身学习促进工作。</w:t>
      </w:r>
    </w:p>
    <w:p>
      <w:pPr>
        <w:pStyle w:val="Normal"/>
        <w:spacing w:lineRule="exact" w:line="620"/>
        <w:ind w:endChars="0" w:end="0"/>
        <w:rPr>
          <w:spacing w:val="-4"/>
          <w:szCs w:val="32"/>
        </w:rPr>
      </w:pPr>
      <w:r>
        <w:rPr>
          <w:rFonts w:hint="eastAsia" w:eastAsia="黑体"/>
          <w:spacing w:val="-4"/>
          <w:szCs w:val="32"/>
        </w:rPr>
        <w:t>第六条</w:t>
      </w:r>
      <w:r>
        <w:rPr>
          <w:rFonts w:eastAsia="黑体"/>
          <w:spacing w:val="-4"/>
          <w:szCs w:val="32"/>
        </w:rPr>
        <w:t xml:space="preserve">  </w:t>
      </w:r>
      <w:r>
        <w:rPr>
          <w:rFonts w:hint="eastAsia"/>
          <w:spacing w:val="-4"/>
          <w:szCs w:val="32"/>
        </w:rPr>
        <w:t>每年十月第三周为本市全民终身学习活动周。</w:t>
      </w:r>
    </w:p>
    <w:p>
      <w:pPr>
        <w:pStyle w:val="Normal"/>
        <w:spacing w:lineRule="exact" w:line="620"/>
        <w:ind w:endChars="0" w:end="0"/>
        <w:jc w:val="center"/>
        <w:rPr>
          <w:rFonts w:eastAsia="黑体" w:hint="eastAsia"/>
          <w:spacing w:val="-4"/>
          <w:szCs w:val="32"/>
        </w:rPr>
      </w:pPr>
      <w:r>
        <w:rPr>
          <w:rFonts w:eastAsia="黑体" w:hint="eastAsia"/>
          <w:spacing w:val="-4"/>
          <w:szCs w:val="32"/>
        </w:rPr>
      </w:r>
    </w:p>
    <w:p>
      <w:pPr>
        <w:pStyle w:val="Normal"/>
        <w:spacing w:lineRule="exact" w:line="620"/>
        <w:ind w:firstLineChars="0" w:firstLine="0" w:endChars="0" w:end="0"/>
        <w:jc w:val="center"/>
        <w:rPr>
          <w:rFonts w:eastAsia="黑体"/>
          <w:spacing w:val="-4"/>
          <w:szCs w:val="32"/>
        </w:rPr>
      </w:pPr>
      <w:r>
        <w:rPr>
          <w:rFonts w:hint="eastAsia" w:eastAsia="黑体"/>
          <w:spacing w:val="-4"/>
          <w:szCs w:val="32"/>
        </w:rPr>
        <w:t>第二章</w:t>
      </w:r>
      <w:r>
        <w:rPr>
          <w:rFonts w:eastAsia="黑体"/>
          <w:spacing w:val="-4"/>
          <w:szCs w:val="32"/>
        </w:rPr>
        <w:t xml:space="preserve">  </w:t>
      </w:r>
      <w:r>
        <w:rPr>
          <w:rFonts w:hint="eastAsia" w:eastAsia="黑体"/>
          <w:spacing w:val="-4"/>
          <w:szCs w:val="32"/>
        </w:rPr>
        <w:t>学习权利</w:t>
      </w:r>
    </w:p>
    <w:p>
      <w:pPr>
        <w:pStyle w:val="Normal"/>
        <w:spacing w:lineRule="exact" w:line="620"/>
        <w:ind w:endChars="0" w:end="0"/>
        <w:rPr>
          <w:rFonts w:eastAsia="黑体" w:hint="eastAsia"/>
          <w:spacing w:val="-4"/>
          <w:szCs w:val="32"/>
        </w:rPr>
      </w:pPr>
      <w:r>
        <w:rPr>
          <w:rFonts w:eastAsia="黑体" w:hint="eastAsia"/>
          <w:spacing w:val="-4"/>
          <w:szCs w:val="32"/>
        </w:rPr>
      </w:r>
    </w:p>
    <w:p>
      <w:pPr>
        <w:pStyle w:val="Normal"/>
        <w:spacing w:lineRule="exact" w:line="620"/>
        <w:ind w:endChars="0" w:end="0"/>
        <w:rPr>
          <w:spacing w:val="-4"/>
          <w:szCs w:val="32"/>
        </w:rPr>
      </w:pPr>
      <w:r>
        <w:rPr>
          <w:rFonts w:hint="eastAsia" w:eastAsia="黑体"/>
          <w:spacing w:val="-4"/>
          <w:szCs w:val="32"/>
        </w:rPr>
        <w:t>第七条</w:t>
      </w:r>
      <w:r>
        <w:rPr>
          <w:rFonts w:eastAsia="黑体"/>
          <w:spacing w:val="-4"/>
          <w:szCs w:val="32"/>
        </w:rPr>
        <w:t xml:space="preserve">  </w:t>
      </w:r>
      <w:r>
        <w:rPr>
          <w:rFonts w:hint="eastAsia"/>
          <w:spacing w:val="-4"/>
          <w:szCs w:val="32"/>
        </w:rPr>
        <w:t>终身学习是市民依法享有的权利。</w:t>
      </w:r>
    </w:p>
    <w:p>
      <w:pPr>
        <w:pStyle w:val="Normal"/>
        <w:spacing w:lineRule="exact" w:line="620"/>
        <w:ind w:endChars="0" w:end="0"/>
        <w:rPr>
          <w:spacing w:val="-4"/>
          <w:szCs w:val="32"/>
        </w:rPr>
      </w:pPr>
      <w:r>
        <w:rPr>
          <w:rFonts w:hint="eastAsia"/>
          <w:spacing w:val="-4"/>
          <w:szCs w:val="32"/>
        </w:rPr>
        <w:t>倡导市民树立终身学习理念，提高终身学习能力，养成终身学习习惯。</w:t>
      </w:r>
    </w:p>
    <w:p>
      <w:pPr>
        <w:pStyle w:val="Normal"/>
        <w:spacing w:lineRule="exact" w:line="620"/>
        <w:ind w:endChars="0" w:end="0"/>
        <w:rPr>
          <w:spacing w:val="-4"/>
          <w:szCs w:val="32"/>
        </w:rPr>
      </w:pPr>
      <w:r>
        <w:rPr>
          <w:rFonts w:hint="eastAsia"/>
          <w:spacing w:val="-4"/>
          <w:szCs w:val="32"/>
        </w:rPr>
        <w:t>促进终身学习是家庭的责任，也是全社会的共同责任。</w:t>
      </w:r>
    </w:p>
    <w:p>
      <w:pPr>
        <w:pStyle w:val="Normal"/>
        <w:spacing w:lineRule="exact" w:line="620"/>
        <w:ind w:endChars="0" w:end="0"/>
        <w:rPr>
          <w:rFonts w:eastAsia="黑体"/>
          <w:spacing w:val="-4"/>
          <w:szCs w:val="32"/>
        </w:rPr>
      </w:pPr>
      <w:r>
        <w:rPr>
          <w:rFonts w:hint="eastAsia" w:eastAsia="黑体"/>
          <w:spacing w:val="-4"/>
          <w:szCs w:val="32"/>
        </w:rPr>
        <w:t>第八条</w:t>
      </w:r>
      <w:r>
        <w:rPr>
          <w:rFonts w:eastAsia="黑体"/>
          <w:spacing w:val="-4"/>
          <w:szCs w:val="32"/>
        </w:rPr>
        <w:t xml:space="preserve">  </w:t>
      </w:r>
      <w:r>
        <w:rPr>
          <w:rFonts w:hint="eastAsia"/>
          <w:spacing w:val="-4"/>
          <w:szCs w:val="32"/>
        </w:rPr>
        <w:t>市民有权选择终身学习的方向，自主开展各类适应社会发展和促进个体发展方面的学习。</w:t>
      </w:r>
    </w:p>
    <w:p>
      <w:pPr>
        <w:pStyle w:val="Normal"/>
        <w:spacing w:lineRule="exact" w:line="620"/>
        <w:ind w:endChars="0" w:end="0"/>
        <w:rPr>
          <w:spacing w:val="-4"/>
          <w:szCs w:val="32"/>
        </w:rPr>
      </w:pPr>
      <w:r>
        <w:rPr>
          <w:rFonts w:hint="eastAsia" w:eastAsia="黑体"/>
          <w:spacing w:val="-4"/>
          <w:szCs w:val="32"/>
        </w:rPr>
        <w:t>第九条</w:t>
      </w:r>
      <w:r>
        <w:rPr>
          <w:rFonts w:eastAsia="黑体"/>
          <w:spacing w:val="-4"/>
          <w:szCs w:val="32"/>
        </w:rPr>
        <w:t xml:space="preserve">  </w:t>
      </w:r>
      <w:r>
        <w:rPr>
          <w:rFonts w:hint="eastAsia"/>
          <w:spacing w:val="-4"/>
          <w:szCs w:val="32"/>
        </w:rPr>
        <w:t>市民有权按照有关规定使用图书馆、博物馆、美术馆、文化馆、科技馆等场所提供的公共学习资源。</w:t>
      </w:r>
    </w:p>
    <w:p>
      <w:pPr>
        <w:pStyle w:val="TOC3"/>
        <w:spacing w:lineRule="exact" w:line="620"/>
        <w:ind w:endChars="0" w:end="0"/>
        <w:rPr>
          <w:rFonts w:ascii="Times New Roman" w:hAnsi="Times New Roman" w:eastAsia="仿宋_GB2312" w:cs="Times New Roman"/>
          <w:b w:val="false"/>
          <w:spacing w:val="-4"/>
          <w:sz w:val="32"/>
          <w:szCs w:val="32"/>
        </w:rPr>
      </w:pPr>
      <w:r>
        <w:rPr>
          <w:rFonts w:ascii="Times New Roman" w:hAnsi="Times New Roman" w:cs="Times New Roman" w:hint="eastAsia" w:eastAsia="仿宋_GB2312"/>
          <w:b w:val="false"/>
          <w:spacing w:val="-4"/>
          <w:sz w:val="32"/>
          <w:szCs w:val="32"/>
        </w:rPr>
        <w:t>市民有权按照各类教育机构、单位制定的学习计划和安排，参加终身学习活动，使用相应的设施、设备和学习资料。</w:t>
      </w:r>
    </w:p>
    <w:p>
      <w:pPr>
        <w:pStyle w:val="Normal"/>
        <w:spacing w:lineRule="exact" w:line="620"/>
        <w:ind w:endChars="0" w:end="0"/>
        <w:rPr>
          <w:rFonts w:eastAsia="黑体"/>
          <w:spacing w:val="-4"/>
          <w:szCs w:val="32"/>
        </w:rPr>
      </w:pPr>
      <w:r>
        <w:rPr>
          <w:rFonts w:hint="eastAsia" w:eastAsia="黑体"/>
          <w:spacing w:val="-4"/>
          <w:szCs w:val="32"/>
        </w:rPr>
        <w:t>第十条</w:t>
      </w:r>
      <w:r>
        <w:rPr>
          <w:rFonts w:eastAsia="黑体"/>
          <w:spacing w:val="-4"/>
          <w:szCs w:val="32"/>
        </w:rPr>
        <w:t xml:space="preserve">  </w:t>
      </w:r>
      <w:r>
        <w:rPr>
          <w:rFonts w:hint="eastAsia"/>
          <w:spacing w:val="-4"/>
          <w:szCs w:val="32"/>
        </w:rPr>
        <w:t>市民有权按照有关规定获得终身学习方面的帮助。</w:t>
      </w:r>
    </w:p>
    <w:p>
      <w:pPr>
        <w:pStyle w:val="Normal"/>
        <w:spacing w:lineRule="exact" w:line="620"/>
        <w:ind w:endChars="0" w:end="0"/>
        <w:rPr>
          <w:spacing w:val="-4"/>
          <w:szCs w:val="32"/>
        </w:rPr>
      </w:pPr>
      <w:r>
        <w:rPr>
          <w:rFonts w:hint="eastAsia"/>
          <w:spacing w:val="-4"/>
          <w:szCs w:val="32"/>
        </w:rPr>
        <w:t>本市各级人民政府及其有关部门应当按照有关规定保障家庭经济困难人员、残疾人、困境儿童、优抚对象家庭人员等群体的终身学习权益，为其提供帮助和便利。</w:t>
      </w:r>
    </w:p>
    <w:p>
      <w:pPr>
        <w:pStyle w:val="Normal"/>
        <w:spacing w:lineRule="exact" w:line="620"/>
        <w:ind w:endChars="0" w:end="0"/>
        <w:rPr>
          <w:spacing w:val="-4"/>
          <w:szCs w:val="32"/>
        </w:rPr>
      </w:pPr>
      <w:r>
        <w:rPr>
          <w:rFonts w:hint="eastAsia" w:eastAsia="黑体"/>
          <w:spacing w:val="-4"/>
          <w:szCs w:val="32"/>
        </w:rPr>
        <w:t>第十一条</w:t>
      </w:r>
      <w:r>
        <w:rPr>
          <w:rFonts w:eastAsia="黑体"/>
          <w:spacing w:val="-4"/>
          <w:szCs w:val="32"/>
        </w:rPr>
        <w:t xml:space="preserve">  </w:t>
      </w:r>
      <w:r>
        <w:rPr>
          <w:rFonts w:hint="eastAsia"/>
          <w:spacing w:val="-4"/>
          <w:szCs w:val="32"/>
        </w:rPr>
        <w:t>市民按照规定开展终身学习，有权获得学习时间、内容和成绩等方面的公正评价。</w:t>
      </w:r>
    </w:p>
    <w:p>
      <w:pPr>
        <w:pStyle w:val="Normal"/>
        <w:spacing w:lineRule="exact" w:line="620"/>
        <w:ind w:endChars="0" w:end="0"/>
        <w:rPr>
          <w:rFonts w:hint="eastAsia"/>
          <w:spacing w:val="-4"/>
          <w:szCs w:val="32"/>
        </w:rPr>
      </w:pPr>
      <w:r>
        <w:rPr>
          <w:rFonts w:hint="eastAsia"/>
          <w:spacing w:val="-4"/>
          <w:szCs w:val="32"/>
        </w:rPr>
      </w:r>
    </w:p>
    <w:p>
      <w:pPr>
        <w:pStyle w:val="Normal"/>
        <w:spacing w:lineRule="exact" w:line="590"/>
        <w:ind w:firstLineChars="0" w:firstLine="0" w:endChars="0" w:end="0"/>
        <w:jc w:val="center"/>
        <w:rPr>
          <w:rFonts w:eastAsia="黑体"/>
          <w:spacing w:val="-4"/>
          <w:szCs w:val="32"/>
        </w:rPr>
      </w:pPr>
      <w:r>
        <w:rPr>
          <w:rFonts w:hint="eastAsia" w:eastAsia="黑体"/>
          <w:spacing w:val="-4"/>
          <w:szCs w:val="32"/>
        </w:rPr>
        <w:t>第三章</w:t>
      </w:r>
      <w:r>
        <w:rPr>
          <w:rFonts w:eastAsia="黑体"/>
          <w:spacing w:val="-4"/>
          <w:szCs w:val="32"/>
        </w:rPr>
        <w:t xml:space="preserve">  </w:t>
      </w:r>
      <w:r>
        <w:rPr>
          <w:rFonts w:hint="eastAsia" w:eastAsia="黑体"/>
          <w:spacing w:val="-4"/>
          <w:szCs w:val="32"/>
        </w:rPr>
        <w:t>政府推进</w:t>
      </w:r>
    </w:p>
    <w:p>
      <w:pPr>
        <w:pStyle w:val="Normal"/>
        <w:spacing w:lineRule="exact" w:line="590"/>
        <w:ind w:endChars="0" w:end="0"/>
        <w:rPr>
          <w:rFonts w:eastAsia="黑体" w:hint="eastAsia"/>
          <w:spacing w:val="-4"/>
          <w:szCs w:val="32"/>
        </w:rPr>
      </w:pPr>
      <w:r>
        <w:rPr>
          <w:rFonts w:eastAsia="黑体" w:hint="eastAsia"/>
          <w:spacing w:val="-4"/>
          <w:szCs w:val="32"/>
        </w:rPr>
      </w:r>
    </w:p>
    <w:p>
      <w:pPr>
        <w:pStyle w:val="Normal"/>
        <w:spacing w:lineRule="exact" w:line="590"/>
        <w:ind w:endChars="0" w:end="0"/>
        <w:rPr>
          <w:spacing w:val="-4"/>
          <w:szCs w:val="32"/>
        </w:rPr>
      </w:pPr>
      <w:r>
        <w:rPr>
          <w:rFonts w:hint="eastAsia" w:eastAsia="黑体"/>
          <w:spacing w:val="-4"/>
          <w:szCs w:val="32"/>
        </w:rPr>
        <w:t>第十二条</w:t>
      </w:r>
      <w:r>
        <w:rPr>
          <w:rFonts w:eastAsia="黑体"/>
          <w:spacing w:val="-4"/>
          <w:szCs w:val="32"/>
        </w:rPr>
        <w:t xml:space="preserve">  </w:t>
      </w:r>
      <w:r>
        <w:rPr>
          <w:rFonts w:hint="eastAsia"/>
          <w:spacing w:val="-4"/>
          <w:szCs w:val="32"/>
        </w:rPr>
        <w:t>市、县级市（区）人民政府应当将终身学习促进工作纳入国民经济和社会发展规划以及年度计划，制定相关政策措施，建立工作考核评价制度，并将终身学习促进工作所需经费列入同级财政预算。</w:t>
      </w:r>
    </w:p>
    <w:p>
      <w:pPr>
        <w:pStyle w:val="Normal"/>
        <w:spacing w:lineRule="exact" w:line="590"/>
        <w:ind w:endChars="0" w:end="0"/>
        <w:rPr>
          <w:rFonts w:eastAsia="黑体"/>
          <w:spacing w:val="-4"/>
          <w:szCs w:val="32"/>
        </w:rPr>
      </w:pPr>
      <w:r>
        <w:rPr>
          <w:rFonts w:hint="eastAsia" w:eastAsia="黑体"/>
          <w:spacing w:val="-4"/>
          <w:szCs w:val="32"/>
        </w:rPr>
        <w:t>第十三条</w:t>
      </w:r>
      <w:r>
        <w:rPr>
          <w:spacing w:val="-4"/>
          <w:szCs w:val="32"/>
        </w:rPr>
        <w:t xml:space="preserve">  </w:t>
      </w:r>
      <w:r>
        <w:rPr>
          <w:rFonts w:hint="eastAsia"/>
          <w:spacing w:val="-4"/>
          <w:szCs w:val="32"/>
        </w:rPr>
        <w:t>市人民政府应当根据有关规定制定社区教育、老年教育等涉及终身学习的经费标准。</w:t>
      </w:r>
    </w:p>
    <w:p>
      <w:pPr>
        <w:pStyle w:val="Normal"/>
        <w:spacing w:lineRule="exact" w:line="590"/>
        <w:ind w:endChars="0" w:end="0"/>
        <w:rPr>
          <w:spacing w:val="-4"/>
          <w:szCs w:val="32"/>
        </w:rPr>
      </w:pPr>
      <w:r>
        <w:rPr>
          <w:rFonts w:hint="eastAsia" w:eastAsia="黑体"/>
          <w:spacing w:val="-4"/>
          <w:szCs w:val="32"/>
        </w:rPr>
        <w:t>第十四条</w:t>
      </w:r>
      <w:r>
        <w:rPr>
          <w:spacing w:val="-4"/>
          <w:szCs w:val="32"/>
        </w:rPr>
        <w:t xml:space="preserve">  </w:t>
      </w:r>
      <w:r>
        <w:rPr>
          <w:rFonts w:hint="eastAsia"/>
          <w:spacing w:val="-4"/>
          <w:szCs w:val="32"/>
        </w:rPr>
        <w:t>本市各级人民政府应当按照有关规定将终身学习服务列入政府购买服务指导性目录，利用企业、民办非企业单位开发的优质学习资源，促进各类学习资源开放共享，为市民终身学习提供便捷多样的服务。</w:t>
      </w:r>
    </w:p>
    <w:p>
      <w:pPr>
        <w:pStyle w:val="Normal"/>
        <w:spacing w:lineRule="exact" w:line="590"/>
        <w:ind w:endChars="0" w:end="0"/>
        <w:rPr>
          <w:spacing w:val="-4"/>
          <w:szCs w:val="32"/>
        </w:rPr>
      </w:pPr>
      <w:r>
        <w:rPr>
          <w:rFonts w:hint="eastAsia" w:eastAsia="黑体"/>
          <w:spacing w:val="-4"/>
          <w:szCs w:val="32"/>
        </w:rPr>
        <w:t>第十五条</w:t>
      </w:r>
      <w:r>
        <w:rPr>
          <w:spacing w:val="-4"/>
          <w:szCs w:val="32"/>
        </w:rPr>
        <w:t xml:space="preserve">  </w:t>
      </w:r>
      <w:r>
        <w:rPr>
          <w:rFonts w:hint="eastAsia"/>
          <w:spacing w:val="-4"/>
          <w:szCs w:val="32"/>
        </w:rPr>
        <w:t>本市各级人民政府应当加强公共阅读设施建设，根据人口规模和学习需求合理设置公共图书馆、农家书屋、城市书房、社区书屋、职工书屋等便民公共阅读服务场所。</w:t>
      </w:r>
    </w:p>
    <w:p>
      <w:pPr>
        <w:pStyle w:val="Normal"/>
        <w:spacing w:lineRule="exact" w:line="590"/>
        <w:ind w:endChars="0" w:end="0"/>
        <w:rPr>
          <w:spacing w:val="-4"/>
          <w:szCs w:val="32"/>
        </w:rPr>
      </w:pPr>
      <w:r>
        <w:rPr>
          <w:rFonts w:hint="eastAsia" w:eastAsia="黑体"/>
          <w:spacing w:val="-4"/>
          <w:szCs w:val="32"/>
        </w:rPr>
        <w:t>第十六条</w:t>
      </w:r>
      <w:r>
        <w:rPr>
          <w:spacing w:val="-4"/>
          <w:szCs w:val="32"/>
        </w:rPr>
        <w:t xml:space="preserve">  </w:t>
      </w:r>
      <w:r>
        <w:rPr>
          <w:rFonts w:hint="eastAsia"/>
          <w:spacing w:val="-4"/>
          <w:szCs w:val="32"/>
        </w:rPr>
        <w:t>本市各级人民政府应当整合各类教育资源，健全城乡一体的社区教育网络，在市、县级市（区）、镇（街道）、村（社区）分别设立社区大学、社区培训学院、社区教育中心、市民学校等社区教育机构，并按照有关规定配备教育设施、设备和人员。</w:t>
      </w:r>
    </w:p>
    <w:p>
      <w:pPr>
        <w:pStyle w:val="Normal"/>
        <w:spacing w:lineRule="exact" w:line="590"/>
        <w:ind w:endChars="0" w:end="0"/>
        <w:rPr>
          <w:spacing w:val="-4"/>
          <w:szCs w:val="32"/>
        </w:rPr>
      </w:pPr>
      <w:r>
        <w:rPr>
          <w:rFonts w:hint="eastAsia"/>
          <w:spacing w:val="-4"/>
          <w:szCs w:val="32"/>
        </w:rPr>
        <w:t>社区教育应当针对社区居民的不同需求，开展法律法规、思想道德、卫生健康、家教家风、职业技能、科学文化、人文艺术、生活休闲等学习活动。</w:t>
      </w:r>
    </w:p>
    <w:p>
      <w:pPr>
        <w:pStyle w:val="Normal"/>
        <w:spacing w:lineRule="exact" w:line="590"/>
        <w:ind w:endChars="0" w:end="0"/>
        <w:rPr>
          <w:spacing w:val="-4"/>
          <w:szCs w:val="32"/>
        </w:rPr>
      </w:pPr>
      <w:r>
        <w:rPr>
          <w:rFonts w:hint="eastAsia" w:eastAsia="黑体"/>
          <w:spacing w:val="-4"/>
          <w:szCs w:val="32"/>
        </w:rPr>
        <w:t>第十七条</w:t>
      </w:r>
      <w:r>
        <w:rPr>
          <w:spacing w:val="-4"/>
          <w:szCs w:val="32"/>
        </w:rPr>
        <w:t xml:space="preserve">  </w:t>
      </w:r>
      <w:r>
        <w:rPr>
          <w:rFonts w:hint="eastAsia"/>
          <w:spacing w:val="-4"/>
          <w:szCs w:val="32"/>
        </w:rPr>
        <w:t>本市各级人民政府应当加快发展老年教育，扩大老年教育资源供给，扶持建设老年教育机构。支持符合条件的老年教育机构加快现代化建设，将老年教育场所纳入城乡社区治理与服务规划，科学设置社区老年教育场所。</w:t>
      </w:r>
    </w:p>
    <w:p>
      <w:pPr>
        <w:pStyle w:val="Normal"/>
        <w:spacing w:lineRule="exact" w:line="590"/>
        <w:ind w:endChars="0" w:end="0"/>
        <w:rPr>
          <w:szCs w:val="32"/>
        </w:rPr>
      </w:pPr>
      <w:r>
        <w:rPr>
          <w:rFonts w:hint="eastAsia"/>
          <w:szCs w:val="32"/>
        </w:rPr>
        <w:t>老年教育应当针对老年人的特点和学习需求，开展健康养老、安全保护、防范诈骗、数字技能、生活休闲、人文艺术等学</w:t>
      </w:r>
      <w:r>
        <w:rPr>
          <w:rFonts w:hint="eastAsia"/>
          <w:spacing w:val="6"/>
          <w:szCs w:val="32"/>
        </w:rPr>
        <w:t>习活动，促进老年人身心健康、融入数字社会</w:t>
      </w:r>
      <w:r>
        <w:rPr>
          <w:rFonts w:hint="eastAsia"/>
          <w:szCs w:val="32"/>
        </w:rPr>
        <w:t>。</w:t>
      </w:r>
    </w:p>
    <w:p>
      <w:pPr>
        <w:pStyle w:val="Normal"/>
        <w:spacing w:lineRule="exact" w:line="590"/>
        <w:ind w:endChars="0" w:end="0"/>
        <w:rPr>
          <w:spacing w:val="-4"/>
          <w:szCs w:val="32"/>
        </w:rPr>
      </w:pPr>
      <w:r>
        <w:rPr>
          <w:rFonts w:hint="eastAsia" w:eastAsia="黑体"/>
          <w:spacing w:val="-4"/>
          <w:szCs w:val="32"/>
        </w:rPr>
        <w:t>第十八条</w:t>
      </w:r>
      <w:r>
        <w:rPr>
          <w:spacing w:val="-4"/>
          <w:szCs w:val="32"/>
        </w:rPr>
        <w:t xml:space="preserve">  </w:t>
      </w:r>
      <w:r>
        <w:rPr>
          <w:rFonts w:hint="eastAsia"/>
          <w:spacing w:val="-4"/>
          <w:szCs w:val="32"/>
        </w:rPr>
        <w:t>市、县级市（区）人民政府应当至少建设一所老年大学，并根据学习需求，扩大办学规模。</w:t>
      </w:r>
    </w:p>
    <w:p>
      <w:pPr>
        <w:pStyle w:val="TOC3"/>
        <w:spacing w:lineRule="exact" w:line="590"/>
        <w:ind w:endChars="0" w:end="0"/>
        <w:rPr>
          <w:rFonts w:ascii="Times New Roman" w:hAnsi="Times New Roman" w:eastAsia="仿宋_GB2312" w:cs="Times New Roman"/>
          <w:b w:val="false"/>
          <w:spacing w:val="-4"/>
          <w:sz w:val="32"/>
          <w:szCs w:val="32"/>
        </w:rPr>
      </w:pPr>
      <w:r>
        <w:rPr>
          <w:rFonts w:ascii="Times New Roman" w:hAnsi="Times New Roman" w:cs="Times New Roman" w:hint="eastAsia" w:eastAsia="仿宋_GB2312"/>
          <w:b w:val="false"/>
          <w:spacing w:val="-4"/>
          <w:sz w:val="32"/>
          <w:szCs w:val="32"/>
        </w:rPr>
        <w:t>市、县级市（区）人民政府应当推动开放大学举办老年开放大学。</w:t>
      </w:r>
    </w:p>
    <w:p>
      <w:pPr>
        <w:pStyle w:val="TOC3"/>
        <w:spacing w:lineRule="exact" w:line="590"/>
        <w:ind w:endChars="0" w:end="0"/>
        <w:rPr>
          <w:rFonts w:ascii="Times New Roman" w:hAnsi="Times New Roman" w:eastAsia="仿宋_GB2312" w:cs="Times New Roman"/>
          <w:b w:val="false"/>
          <w:spacing w:val="-4"/>
          <w:sz w:val="32"/>
          <w:szCs w:val="32"/>
        </w:rPr>
      </w:pPr>
      <w:r>
        <w:rPr>
          <w:rFonts w:ascii="Times New Roman" w:hAnsi="Times New Roman" w:cs="Times New Roman" w:hint="eastAsia" w:eastAsia="仿宋_GB2312"/>
          <w:b w:val="false"/>
          <w:spacing w:val="-4"/>
          <w:sz w:val="32"/>
          <w:szCs w:val="32"/>
        </w:rPr>
        <w:t>镇（街道）应当至少建设一所老年教育办学点，有条件的可以建设老年大学。</w:t>
      </w:r>
    </w:p>
    <w:p>
      <w:pPr>
        <w:pStyle w:val="Normal"/>
        <w:spacing w:lineRule="exact" w:line="590"/>
        <w:ind w:endChars="0" w:end="0"/>
        <w:rPr>
          <w:spacing w:val="-4"/>
          <w:szCs w:val="32"/>
        </w:rPr>
      </w:pPr>
      <w:r>
        <w:rPr>
          <w:rFonts w:hint="eastAsia"/>
          <w:spacing w:val="6"/>
          <w:szCs w:val="32"/>
        </w:rPr>
        <w:t>老年大学建设指导意见，由市教育行政部门会同有关部门制定</w:t>
      </w:r>
      <w:r>
        <w:rPr>
          <w:rFonts w:hint="eastAsia"/>
          <w:spacing w:val="-4"/>
          <w:szCs w:val="32"/>
        </w:rPr>
        <w:t>。</w:t>
      </w:r>
    </w:p>
    <w:p>
      <w:pPr>
        <w:pStyle w:val="Normal"/>
        <w:spacing w:lineRule="exact" w:line="590"/>
        <w:ind w:endChars="0" w:end="0"/>
        <w:rPr>
          <w:spacing w:val="-4"/>
          <w:szCs w:val="32"/>
        </w:rPr>
      </w:pPr>
      <w:r>
        <w:rPr>
          <w:rFonts w:hint="eastAsia" w:eastAsia="黑体"/>
          <w:spacing w:val="-4"/>
          <w:szCs w:val="32"/>
        </w:rPr>
        <w:t>第十九条</w:t>
      </w:r>
      <w:r>
        <w:rPr>
          <w:spacing w:val="-4"/>
          <w:szCs w:val="32"/>
        </w:rPr>
        <w:t xml:space="preserve">  </w:t>
      </w:r>
      <w:r>
        <w:rPr>
          <w:rFonts w:hint="eastAsia"/>
          <w:spacing w:val="-4"/>
          <w:szCs w:val="32"/>
        </w:rPr>
        <w:t>市、县级市（区）人民政府应当加强终身学习专职师资队伍建设，按照有关规定保障专职教师在业务培训、专业技术考核、职务聘任、职称评聘、表彰奖励等方面的权利。</w:t>
      </w:r>
    </w:p>
    <w:p>
      <w:pPr>
        <w:pStyle w:val="Normal"/>
        <w:spacing w:lineRule="exact" w:line="590"/>
        <w:ind w:endChars="0" w:end="0"/>
        <w:rPr>
          <w:spacing w:val="-4"/>
          <w:szCs w:val="32"/>
        </w:rPr>
      </w:pPr>
      <w:r>
        <w:rPr>
          <w:rFonts w:hint="eastAsia"/>
          <w:spacing w:val="-4"/>
          <w:szCs w:val="32"/>
        </w:rPr>
        <w:t>教育、人力资源和社会保障等部门应当建立相关制度，从专家、学者、教师或者其他具有专业知识和特殊技能的人员中遴选终身学习兼职教师，并按照有关规定给予报酬。</w:t>
      </w:r>
    </w:p>
    <w:p>
      <w:pPr>
        <w:pStyle w:val="Normal"/>
        <w:spacing w:lineRule="exact" w:line="590"/>
        <w:ind w:endChars="0" w:end="0"/>
        <w:rPr>
          <w:spacing w:val="-4"/>
          <w:szCs w:val="32"/>
        </w:rPr>
      </w:pPr>
      <w:r>
        <w:rPr>
          <w:rFonts w:hint="eastAsia" w:eastAsia="黑体"/>
          <w:spacing w:val="-4"/>
          <w:szCs w:val="32"/>
        </w:rPr>
        <w:t>第二十条</w:t>
      </w:r>
      <w:r>
        <w:rPr>
          <w:spacing w:val="-4"/>
          <w:szCs w:val="32"/>
        </w:rPr>
        <w:t xml:space="preserve">  </w:t>
      </w:r>
      <w:r>
        <w:rPr>
          <w:rFonts w:hint="eastAsia"/>
          <w:spacing w:val="-4"/>
          <w:szCs w:val="32"/>
        </w:rPr>
        <w:t>教育行政部门应当加强终身学习数字化建设，建立健全终身学习公共服务平台，整合学习资源，为市民提供专业、实时、便捷的学习服务。</w:t>
      </w:r>
    </w:p>
    <w:p>
      <w:pPr>
        <w:pStyle w:val="Normal"/>
        <w:spacing w:lineRule="exact" w:line="590"/>
        <w:ind w:endChars="0" w:end="0"/>
        <w:rPr>
          <w:spacing w:val="-4"/>
          <w:szCs w:val="32"/>
        </w:rPr>
      </w:pPr>
      <w:r>
        <w:rPr>
          <w:rFonts w:hint="eastAsia" w:eastAsia="黑体"/>
          <w:spacing w:val="-4"/>
          <w:szCs w:val="32"/>
        </w:rPr>
        <w:t>第二十一条</w:t>
      </w:r>
      <w:r>
        <w:rPr>
          <w:rFonts w:eastAsia="黑体"/>
          <w:spacing w:val="-4"/>
          <w:szCs w:val="32"/>
        </w:rPr>
        <w:t xml:space="preserve">  </w:t>
      </w:r>
      <w:r>
        <w:rPr>
          <w:rFonts w:hint="eastAsia"/>
          <w:spacing w:val="-4"/>
          <w:szCs w:val="32"/>
        </w:rPr>
        <w:t>教育、人力资源和社会保障、市场监督管理、交通运输、农业农村等部门，应当组织开展失业人员、新就业形态劳动者、农民等教育培训。</w:t>
      </w:r>
    </w:p>
    <w:p>
      <w:pPr>
        <w:pStyle w:val="Normal"/>
        <w:spacing w:lineRule="exact" w:line="590"/>
        <w:ind w:endChars="0" w:end="0"/>
        <w:rPr>
          <w:spacing w:val="-4"/>
          <w:szCs w:val="32"/>
        </w:rPr>
      </w:pPr>
      <w:r>
        <w:rPr>
          <w:rFonts w:hint="eastAsia"/>
          <w:spacing w:val="-4"/>
          <w:szCs w:val="32"/>
        </w:rPr>
        <w:t>园林和绿化管理、文化广电和旅游等部门应当结合世界文化遗产、文物和非物质文化遗产保护宣传以及公共文化服务体系建设，提供终身学习资源，为本市义务教育阶段的学生提供参观研习传统文化的公益服务。</w:t>
      </w:r>
    </w:p>
    <w:p>
      <w:pPr>
        <w:pStyle w:val="Normal"/>
        <w:spacing w:lineRule="exact" w:line="590"/>
        <w:ind w:endChars="0" w:end="0"/>
        <w:rPr>
          <w:spacing w:val="-4"/>
          <w:szCs w:val="32"/>
        </w:rPr>
      </w:pPr>
      <w:r>
        <w:rPr>
          <w:rFonts w:hint="eastAsia" w:eastAsia="黑体"/>
          <w:spacing w:val="-4"/>
          <w:szCs w:val="32"/>
        </w:rPr>
        <w:t>第二十二条</w:t>
      </w:r>
      <w:r>
        <w:rPr>
          <w:rFonts w:eastAsia="黑体"/>
          <w:spacing w:val="-4"/>
          <w:szCs w:val="32"/>
        </w:rPr>
        <w:t xml:space="preserve">  </w:t>
      </w:r>
      <w:r>
        <w:rPr>
          <w:rFonts w:hint="eastAsia"/>
          <w:spacing w:val="-4"/>
          <w:szCs w:val="32"/>
        </w:rPr>
        <w:t>工会、共产主义青年团、妇女联合会、文学艺术界联合会、科学技术协会、残疾人联合会等人民团体，应当提供职工教育、青少年社会实践、家庭教育、文学艺术教学、科学技术普及、残疾人教育等终身学习资源，开展终身学习活动。</w:t>
      </w:r>
    </w:p>
    <w:p>
      <w:pPr>
        <w:pStyle w:val="Normal"/>
        <w:spacing w:lineRule="exact" w:line="590"/>
        <w:ind w:endChars="0" w:end="0"/>
        <w:rPr>
          <w:spacing w:val="-4"/>
          <w:szCs w:val="32"/>
        </w:rPr>
      </w:pPr>
      <w:r>
        <w:rPr>
          <w:rFonts w:hint="eastAsia" w:eastAsia="黑体"/>
          <w:spacing w:val="-4"/>
          <w:szCs w:val="32"/>
        </w:rPr>
        <w:t>第二十三条</w:t>
      </w:r>
      <w:r>
        <w:rPr>
          <w:rFonts w:eastAsia="黑体"/>
          <w:spacing w:val="-4"/>
          <w:szCs w:val="32"/>
        </w:rPr>
        <w:t xml:space="preserve"> </w:t>
      </w:r>
      <w:r>
        <w:rPr>
          <w:spacing w:val="-4"/>
          <w:szCs w:val="32"/>
        </w:rPr>
        <w:t xml:space="preserve"> </w:t>
      </w:r>
      <w:r>
        <w:rPr>
          <w:rFonts w:hint="eastAsia"/>
          <w:spacing w:val="-4"/>
          <w:szCs w:val="32"/>
        </w:rPr>
        <w:t>鼓励终身学习长江三角洲区域一体化协同发展，建立全方位、多层次、项目化、常态化的交流合作机制，共享优质教育资源，扩大受益覆盖面，优化终身学习服务。</w:t>
      </w:r>
    </w:p>
    <w:p>
      <w:pPr>
        <w:pStyle w:val="Normal"/>
        <w:spacing w:lineRule="exact" w:line="590"/>
        <w:ind w:endChars="0" w:end="0"/>
        <w:jc w:val="center"/>
        <w:rPr>
          <w:rFonts w:eastAsia="黑体"/>
          <w:spacing w:val="-4"/>
          <w:szCs w:val="32"/>
        </w:rPr>
      </w:pPr>
      <w:r>
        <w:rPr>
          <w:rFonts w:eastAsia="黑体"/>
          <w:spacing w:val="-4"/>
          <w:szCs w:val="32"/>
        </w:rPr>
      </w:r>
    </w:p>
    <w:p>
      <w:pPr>
        <w:pStyle w:val="Normal"/>
        <w:spacing w:lineRule="exact" w:line="590"/>
        <w:ind w:firstLineChars="0" w:firstLine="0" w:endChars="0" w:end="0"/>
        <w:jc w:val="center"/>
        <w:rPr>
          <w:rFonts w:eastAsia="黑体"/>
          <w:spacing w:val="-4"/>
          <w:szCs w:val="32"/>
        </w:rPr>
      </w:pPr>
      <w:r>
        <w:rPr>
          <w:rFonts w:hint="eastAsia" w:eastAsia="黑体"/>
          <w:spacing w:val="-4"/>
          <w:szCs w:val="32"/>
        </w:rPr>
        <w:t>第四章</w:t>
      </w:r>
      <w:r>
        <w:rPr>
          <w:rFonts w:eastAsia="黑体"/>
          <w:spacing w:val="-4"/>
          <w:szCs w:val="32"/>
        </w:rPr>
        <w:t xml:space="preserve">  </w:t>
      </w:r>
      <w:r>
        <w:rPr>
          <w:rFonts w:hint="eastAsia" w:eastAsia="黑体"/>
          <w:spacing w:val="-4"/>
          <w:szCs w:val="32"/>
        </w:rPr>
        <w:t>社会参与</w:t>
      </w:r>
    </w:p>
    <w:p>
      <w:pPr>
        <w:pStyle w:val="Normal"/>
        <w:spacing w:lineRule="exact" w:line="590"/>
        <w:ind w:endChars="0" w:end="0"/>
        <w:rPr>
          <w:rFonts w:eastAsia="黑体" w:hint="eastAsia"/>
          <w:spacing w:val="-4"/>
          <w:szCs w:val="32"/>
        </w:rPr>
      </w:pPr>
      <w:r>
        <w:rPr>
          <w:rFonts w:eastAsia="黑体" w:hint="eastAsia"/>
          <w:spacing w:val="-4"/>
          <w:szCs w:val="32"/>
        </w:rPr>
      </w:r>
    </w:p>
    <w:p>
      <w:pPr>
        <w:pStyle w:val="Normal"/>
        <w:spacing w:lineRule="exact" w:line="590"/>
        <w:ind w:endChars="0" w:end="0"/>
        <w:rPr>
          <w:spacing w:val="-4"/>
          <w:szCs w:val="32"/>
        </w:rPr>
      </w:pPr>
      <w:r>
        <w:rPr>
          <w:rFonts w:hint="eastAsia" w:eastAsia="黑体"/>
          <w:spacing w:val="-4"/>
          <w:szCs w:val="32"/>
        </w:rPr>
        <w:t>第二十四条</w:t>
      </w:r>
      <w:r>
        <w:rPr>
          <w:spacing w:val="-4"/>
          <w:szCs w:val="32"/>
        </w:rPr>
        <w:t xml:space="preserve">  </w:t>
      </w:r>
      <w:r>
        <w:rPr>
          <w:rFonts w:hint="eastAsia"/>
          <w:spacing w:val="-4"/>
          <w:szCs w:val="32"/>
        </w:rPr>
        <w:t>广播、电视、报刊、互联网等媒体应当宣传正确的终身学习知识，传播科学的终身学习理念和方法，营造重视终身学习的良好社会氛围。</w:t>
      </w:r>
    </w:p>
    <w:p>
      <w:pPr>
        <w:pStyle w:val="Normal"/>
        <w:spacing w:lineRule="exact" w:line="590"/>
        <w:ind w:endChars="0" w:end="0"/>
        <w:rPr>
          <w:spacing w:val="-4"/>
          <w:szCs w:val="32"/>
        </w:rPr>
      </w:pPr>
      <w:r>
        <w:rPr>
          <w:rFonts w:hint="eastAsia" w:eastAsia="黑体"/>
          <w:spacing w:val="-4"/>
          <w:szCs w:val="32"/>
        </w:rPr>
        <w:t>第二十五条</w:t>
      </w:r>
      <w:r>
        <w:rPr>
          <w:spacing w:val="-4"/>
          <w:szCs w:val="32"/>
        </w:rPr>
        <w:t xml:space="preserve">  </w:t>
      </w:r>
      <w:r>
        <w:rPr>
          <w:rFonts w:hint="eastAsia"/>
          <w:spacing w:val="-4"/>
          <w:szCs w:val="32"/>
        </w:rPr>
        <w:t>居民委员会、村民委员会应当加强终身学习宣传和引导，协助做好终身学习促进相关工作，推动将终身学习纳入居民公约、村规民约。</w:t>
      </w:r>
    </w:p>
    <w:p>
      <w:pPr>
        <w:pStyle w:val="Normal"/>
        <w:spacing w:lineRule="exact" w:line="590"/>
        <w:ind w:endChars="0" w:end="0"/>
        <w:rPr>
          <w:spacing w:val="-4"/>
          <w:szCs w:val="32"/>
        </w:rPr>
      </w:pPr>
      <w:r>
        <w:rPr>
          <w:rFonts w:hint="eastAsia"/>
          <w:spacing w:val="-4"/>
          <w:szCs w:val="32"/>
        </w:rPr>
        <w:t>鼓励社区加强与各级各类学校、专业机构等单位的合作，共建社区终身学习点，方便市民就近学习。</w:t>
      </w:r>
    </w:p>
    <w:p>
      <w:pPr>
        <w:pStyle w:val="Normal"/>
        <w:spacing w:lineRule="exact" w:line="590"/>
        <w:ind w:endChars="0" w:end="0"/>
        <w:rPr>
          <w:spacing w:val="-4"/>
          <w:szCs w:val="32"/>
        </w:rPr>
      </w:pPr>
      <w:r>
        <w:rPr>
          <w:rFonts w:hint="eastAsia" w:eastAsia="黑体"/>
          <w:spacing w:val="-4"/>
          <w:szCs w:val="32"/>
        </w:rPr>
        <w:t>第二十六条</w:t>
      </w:r>
      <w:r>
        <w:rPr>
          <w:spacing w:val="-4"/>
          <w:szCs w:val="32"/>
        </w:rPr>
        <w:t xml:space="preserve">  </w:t>
      </w:r>
      <w:r>
        <w:rPr>
          <w:rFonts w:hint="eastAsia"/>
          <w:spacing w:val="-4"/>
          <w:szCs w:val="32"/>
        </w:rPr>
        <w:t>图书馆、博物馆、美术馆、文化馆、科技馆、体育场馆、青少年活动中心、妇女儿童活动中心、工人文化宫、残疾人文化活动中心等场所，应当根据市民需求，通过举办讲座、展览展示、科普教育和组织读书会等多种方式开展终身学习活动。</w:t>
      </w:r>
    </w:p>
    <w:p>
      <w:pPr>
        <w:pStyle w:val="Normal"/>
        <w:spacing w:lineRule="exact" w:line="590"/>
        <w:ind w:endChars="0" w:end="0"/>
        <w:rPr>
          <w:spacing w:val="-4"/>
          <w:szCs w:val="32"/>
        </w:rPr>
      </w:pPr>
      <w:r>
        <w:rPr>
          <w:rFonts w:hint="eastAsia" w:eastAsia="黑体"/>
          <w:spacing w:val="-4"/>
          <w:szCs w:val="32"/>
        </w:rPr>
        <w:t>第二十七条</w:t>
      </w:r>
      <w:r>
        <w:rPr>
          <w:spacing w:val="-4"/>
          <w:szCs w:val="32"/>
        </w:rPr>
        <w:t xml:space="preserve">  </w:t>
      </w:r>
      <w:r>
        <w:rPr>
          <w:rFonts w:hint="eastAsia"/>
          <w:spacing w:val="-4"/>
          <w:szCs w:val="32"/>
        </w:rPr>
        <w:t>各级各类学校在教育教学中，应当培养学生终身学习的理念、兴趣、习惯、方法，提升自主学习能力。</w:t>
      </w:r>
    </w:p>
    <w:p>
      <w:pPr>
        <w:pStyle w:val="TOC3"/>
        <w:spacing w:lineRule="exact" w:line="590"/>
        <w:ind w:endChars="0" w:end="0"/>
        <w:rPr>
          <w:rFonts w:ascii="Times New Roman" w:hAnsi="Times New Roman" w:eastAsia="仿宋_GB2312" w:cs="Times New Roman"/>
          <w:b w:val="false"/>
          <w:spacing w:val="-4"/>
          <w:sz w:val="32"/>
          <w:szCs w:val="32"/>
        </w:rPr>
      </w:pPr>
      <w:r>
        <w:rPr>
          <w:rFonts w:ascii="Times New Roman" w:hAnsi="Times New Roman" w:cs="Times New Roman" w:hint="eastAsia" w:eastAsia="仿宋_GB2312"/>
          <w:b w:val="false"/>
          <w:spacing w:val="-4"/>
          <w:sz w:val="32"/>
          <w:szCs w:val="32"/>
        </w:rPr>
        <w:t>各级各类学校应当发挥师资、科研、课程开发、场地、教学设备等方面的优势，在不影响正常教育教学和学校安全的情况下，为开展终身学习提供服务。</w:t>
      </w:r>
    </w:p>
    <w:p>
      <w:pPr>
        <w:pStyle w:val="Normal"/>
        <w:spacing w:lineRule="exact" w:line="590"/>
        <w:ind w:endChars="0" w:end="0"/>
        <w:rPr>
          <w:spacing w:val="-4"/>
          <w:szCs w:val="32"/>
        </w:rPr>
      </w:pPr>
      <w:r>
        <w:rPr>
          <w:rFonts w:hint="eastAsia" w:eastAsia="黑体"/>
          <w:spacing w:val="-4"/>
          <w:szCs w:val="32"/>
        </w:rPr>
        <w:t>第二十八条</w:t>
      </w:r>
      <w:r>
        <w:rPr>
          <w:spacing w:val="-4"/>
          <w:szCs w:val="32"/>
        </w:rPr>
        <w:t xml:space="preserve">  </w:t>
      </w:r>
      <w:r>
        <w:rPr>
          <w:rFonts w:hint="eastAsia"/>
          <w:spacing w:val="-4"/>
          <w:szCs w:val="32"/>
        </w:rPr>
        <w:t>家庭应当创造良好的学习环境，营造乐学善学的家庭学习氛围，树立积极向上的生活态度，开展丰富多彩的学习活动。</w:t>
      </w:r>
    </w:p>
    <w:p>
      <w:pPr>
        <w:pStyle w:val="Normal"/>
        <w:spacing w:lineRule="exact" w:line="590"/>
        <w:ind w:endChars="0" w:end="0"/>
        <w:rPr>
          <w:spacing w:val="-4"/>
          <w:szCs w:val="32"/>
        </w:rPr>
      </w:pPr>
      <w:r>
        <w:rPr>
          <w:rFonts w:hint="eastAsia"/>
          <w:spacing w:val="-4"/>
          <w:szCs w:val="32"/>
        </w:rPr>
        <w:t>父母或者其他监护人应当为未成年人提供学习示范和引导，开展家庭学习、亲子学习等活动。</w:t>
      </w:r>
    </w:p>
    <w:p>
      <w:pPr>
        <w:pStyle w:val="TOC3"/>
        <w:spacing w:lineRule="exact" w:line="590"/>
        <w:ind w:endChars="0" w:end="0"/>
        <w:rPr>
          <w:rFonts w:ascii="Times New Roman" w:hAnsi="Times New Roman" w:eastAsia="仿宋_GB2312" w:cs="Times New Roman"/>
          <w:b w:val="false"/>
          <w:spacing w:val="-4"/>
          <w:sz w:val="32"/>
          <w:szCs w:val="32"/>
        </w:rPr>
      </w:pPr>
      <w:r>
        <w:rPr>
          <w:rFonts w:ascii="Times New Roman" w:hAnsi="Times New Roman" w:cs="Times New Roman" w:hint="eastAsia" w:eastAsia="仿宋_GB2312"/>
          <w:b w:val="false"/>
          <w:spacing w:val="-4"/>
          <w:sz w:val="32"/>
          <w:szCs w:val="32"/>
        </w:rPr>
        <w:t>家庭成员应当关心老年人的学习需求，支持老年人终身学习，并为其提供帮助。</w:t>
      </w:r>
    </w:p>
    <w:p>
      <w:pPr>
        <w:pStyle w:val="Normal"/>
        <w:spacing w:lineRule="exact" w:line="590"/>
        <w:ind w:endChars="0" w:end="0"/>
        <w:rPr>
          <w:spacing w:val="-4"/>
          <w:szCs w:val="32"/>
        </w:rPr>
      </w:pPr>
      <w:r>
        <w:rPr>
          <w:rFonts w:hint="eastAsia" w:eastAsia="黑体"/>
          <w:spacing w:val="-4"/>
          <w:szCs w:val="32"/>
        </w:rPr>
        <w:t>第二十九条</w:t>
      </w:r>
      <w:r>
        <w:rPr>
          <w:spacing w:val="-4"/>
          <w:szCs w:val="32"/>
        </w:rPr>
        <w:t xml:space="preserve">  </w:t>
      </w:r>
      <w:r>
        <w:rPr>
          <w:rFonts w:hint="eastAsia"/>
          <w:spacing w:val="-4"/>
          <w:szCs w:val="32"/>
        </w:rPr>
        <w:t>机关、人民团体、企业事业单位和社会组织应当根据自身特点和条件，设立相应的图书馆、阅览室或者图书报刊架等，提供多种学习载体，开展经常性学习活动。</w:t>
      </w:r>
    </w:p>
    <w:p>
      <w:pPr>
        <w:pStyle w:val="Normal"/>
        <w:spacing w:lineRule="exact" w:line="590"/>
        <w:ind w:endChars="0" w:end="0"/>
        <w:rPr>
          <w:rFonts w:eastAsia="黑体"/>
          <w:spacing w:val="-4"/>
          <w:szCs w:val="32"/>
        </w:rPr>
      </w:pPr>
      <w:r>
        <w:rPr>
          <w:rFonts w:hint="eastAsia"/>
          <w:spacing w:val="-4"/>
          <w:szCs w:val="32"/>
        </w:rPr>
        <w:t>新建、改建和扩建住宅区配套建设的公共文化设施中应当设置公共阅读服务场所，为市民终身学习提供便利。</w:t>
      </w:r>
      <w:r>
        <w:rPr>
          <w:rFonts w:eastAsia="黑体"/>
          <w:spacing w:val="-4"/>
          <w:szCs w:val="32"/>
        </w:rPr>
        <w:t xml:space="preserve"> </w:t>
      </w:r>
    </w:p>
    <w:p>
      <w:pPr>
        <w:pStyle w:val="Normal"/>
        <w:spacing w:lineRule="exact" w:line="590"/>
        <w:ind w:endChars="0" w:end="0"/>
        <w:rPr>
          <w:spacing w:val="-4"/>
          <w:szCs w:val="32"/>
        </w:rPr>
      </w:pPr>
      <w:r>
        <w:rPr>
          <w:rFonts w:hint="eastAsia" w:eastAsia="黑体"/>
          <w:spacing w:val="-4"/>
          <w:szCs w:val="32"/>
        </w:rPr>
        <w:t>第三十条</w:t>
      </w:r>
      <w:r>
        <w:rPr>
          <w:spacing w:val="-4"/>
          <w:szCs w:val="32"/>
        </w:rPr>
        <w:t xml:space="preserve">  </w:t>
      </w:r>
      <w:r>
        <w:rPr>
          <w:rFonts w:hint="eastAsia"/>
          <w:spacing w:val="-4"/>
          <w:szCs w:val="32"/>
        </w:rPr>
        <w:t>鼓励医疗卫生、应急救援等专业机构向市民宣传普及疾病防治、优生优育、卫生健康、互助急救、防灾救灾、安全生产等知识，提供公益性的专业咨询服务。</w:t>
      </w:r>
    </w:p>
    <w:p>
      <w:pPr>
        <w:pStyle w:val="Normal"/>
        <w:spacing w:lineRule="exact" w:line="590"/>
        <w:ind w:endChars="0" w:end="0"/>
        <w:rPr>
          <w:spacing w:val="-4"/>
          <w:szCs w:val="32"/>
        </w:rPr>
      </w:pPr>
      <w:r>
        <w:rPr>
          <w:rFonts w:hint="eastAsia" w:eastAsia="黑体"/>
          <w:spacing w:val="-4"/>
          <w:szCs w:val="32"/>
        </w:rPr>
        <w:t>第三十一条</w:t>
      </w:r>
      <w:r>
        <w:rPr>
          <w:rFonts w:eastAsia="黑体"/>
          <w:spacing w:val="-4"/>
          <w:szCs w:val="32"/>
        </w:rPr>
        <w:t xml:space="preserve"> </w:t>
      </w:r>
      <w:r>
        <w:rPr>
          <w:spacing w:val="-4"/>
          <w:szCs w:val="32"/>
        </w:rPr>
        <w:t xml:space="preserve"> </w:t>
      </w:r>
      <w:r>
        <w:rPr>
          <w:rFonts w:hint="eastAsia"/>
          <w:spacing w:val="-4"/>
          <w:szCs w:val="32"/>
        </w:rPr>
        <w:t>鼓励各级各类学校和其他教育机构向社区开放数字化学习资源及服务。</w:t>
      </w:r>
    </w:p>
    <w:p>
      <w:pPr>
        <w:pStyle w:val="Normal"/>
        <w:spacing w:lineRule="exact" w:line="590"/>
        <w:ind w:endChars="0" w:end="0"/>
        <w:rPr>
          <w:spacing w:val="-4"/>
          <w:szCs w:val="32"/>
        </w:rPr>
      </w:pPr>
      <w:r>
        <w:rPr>
          <w:rFonts w:hint="eastAsia"/>
          <w:spacing w:val="-4"/>
          <w:szCs w:val="32"/>
        </w:rPr>
        <w:t>引导和鼓励机关、企业事业单位和社会组织与所在社区建立多种形式的教育联合机制，参与社区教育，为市民开展有组织、多样化的学习服务。</w:t>
      </w:r>
    </w:p>
    <w:p>
      <w:pPr>
        <w:pStyle w:val="Normal"/>
        <w:spacing w:lineRule="exact" w:line="590"/>
        <w:ind w:endChars="0" w:end="0"/>
        <w:rPr>
          <w:spacing w:val="-4"/>
          <w:szCs w:val="32"/>
        </w:rPr>
      </w:pPr>
      <w:r>
        <w:rPr>
          <w:rFonts w:hint="eastAsia" w:eastAsia="黑体"/>
          <w:spacing w:val="-4"/>
          <w:szCs w:val="32"/>
        </w:rPr>
        <w:t>第三十二条</w:t>
      </w:r>
      <w:r>
        <w:rPr>
          <w:spacing w:val="-4"/>
          <w:szCs w:val="32"/>
        </w:rPr>
        <w:t xml:space="preserve">  </w:t>
      </w:r>
      <w:r>
        <w:rPr>
          <w:rFonts w:hint="eastAsia"/>
          <w:spacing w:val="-4"/>
          <w:szCs w:val="32"/>
        </w:rPr>
        <w:t>社区教育机构、老年教育机构应当提升基础能力建设水平，加强终身学习的理论研究、学习资源的整合与开发、全民学习的指导与服务。</w:t>
      </w:r>
    </w:p>
    <w:p>
      <w:pPr>
        <w:pStyle w:val="Normal"/>
        <w:spacing w:lineRule="exact" w:line="590"/>
        <w:ind w:endChars="0" w:end="0"/>
        <w:rPr>
          <w:spacing w:val="-4"/>
          <w:szCs w:val="32"/>
        </w:rPr>
      </w:pPr>
      <w:r>
        <w:rPr>
          <w:rFonts w:hint="eastAsia" w:eastAsia="黑体"/>
          <w:spacing w:val="-4"/>
          <w:szCs w:val="32"/>
        </w:rPr>
        <w:t>第三十三条</w:t>
      </w:r>
      <w:r>
        <w:rPr>
          <w:rFonts w:eastAsia="楷体_GB2312"/>
          <w:spacing w:val="-4"/>
          <w:szCs w:val="32"/>
        </w:rPr>
        <w:t xml:space="preserve"> </w:t>
      </w:r>
      <w:r>
        <w:rPr>
          <w:spacing w:val="-4"/>
          <w:szCs w:val="32"/>
        </w:rPr>
        <w:t xml:space="preserve"> </w:t>
      </w:r>
      <w:r>
        <w:rPr>
          <w:rFonts w:hint="eastAsia"/>
          <w:spacing w:val="-4"/>
          <w:szCs w:val="32"/>
        </w:rPr>
        <w:t>老年大学、开放大学、社区教育机构应当为老年人提供合适的学习资源和服务，在有条件的社区、养老机构设立老年学习点。</w:t>
      </w:r>
    </w:p>
    <w:p>
      <w:pPr>
        <w:pStyle w:val="Normal"/>
        <w:spacing w:lineRule="exact" w:line="590"/>
        <w:ind w:endChars="0" w:end="0"/>
        <w:rPr>
          <w:spacing w:val="-4"/>
          <w:szCs w:val="32"/>
        </w:rPr>
      </w:pPr>
      <w:r>
        <w:rPr>
          <w:rFonts w:hint="eastAsia"/>
          <w:spacing w:val="-4"/>
          <w:szCs w:val="32"/>
        </w:rPr>
        <w:t>鼓励社会力量依法举办老年教育机构，扩大优质老年教育资源供给。</w:t>
      </w:r>
    </w:p>
    <w:p>
      <w:pPr>
        <w:pStyle w:val="Normal"/>
        <w:spacing w:lineRule="exact" w:line="590"/>
        <w:ind w:endChars="0" w:end="0"/>
        <w:rPr>
          <w:spacing w:val="-4"/>
          <w:szCs w:val="32"/>
        </w:rPr>
      </w:pPr>
      <w:r>
        <w:rPr>
          <w:rFonts w:hint="eastAsia" w:eastAsia="黑体"/>
          <w:spacing w:val="-4"/>
          <w:szCs w:val="32"/>
        </w:rPr>
        <w:t>第三十四条</w:t>
      </w:r>
      <w:r>
        <w:rPr>
          <w:spacing w:val="-4"/>
          <w:szCs w:val="32"/>
        </w:rPr>
        <w:t xml:space="preserve">  </w:t>
      </w:r>
      <w:r>
        <w:rPr>
          <w:rFonts w:hint="eastAsia"/>
          <w:spacing w:val="6"/>
          <w:szCs w:val="32"/>
        </w:rPr>
        <w:t>鼓励单位和个人积极参与终身学习志愿服务活动</w:t>
      </w:r>
      <w:r>
        <w:rPr>
          <w:rFonts w:hint="eastAsia"/>
          <w:spacing w:val="-4"/>
          <w:szCs w:val="32"/>
        </w:rPr>
        <w:t>。</w:t>
      </w:r>
    </w:p>
    <w:p>
      <w:pPr>
        <w:pStyle w:val="Normal"/>
        <w:spacing w:lineRule="exact" w:line="590"/>
        <w:ind w:endChars="0" w:end="0"/>
        <w:rPr>
          <w:spacing w:val="-4"/>
          <w:szCs w:val="32"/>
        </w:rPr>
      </w:pPr>
      <w:r>
        <w:rPr>
          <w:rFonts w:hint="eastAsia"/>
          <w:spacing w:val="-4"/>
          <w:szCs w:val="32"/>
        </w:rPr>
        <w:t>鼓励具备专业知识、技能的个人注册成为志愿者，为终身学习活动提供专业志愿服务。</w:t>
      </w:r>
    </w:p>
    <w:p>
      <w:pPr>
        <w:pStyle w:val="TOC3"/>
        <w:spacing w:lineRule="exact" w:line="590"/>
        <w:ind w:endChars="0" w:end="0"/>
        <w:rPr>
          <w:rFonts w:ascii="Times New Roman" w:hAnsi="Times New Roman" w:eastAsia="黑体" w:cs="Times New Roman"/>
          <w:b w:val="false"/>
          <w:spacing w:val="-4"/>
          <w:sz w:val="32"/>
          <w:szCs w:val="32"/>
        </w:rPr>
      </w:pPr>
      <w:r>
        <w:rPr>
          <w:rFonts w:ascii="Times New Roman" w:hAnsi="Times New Roman" w:cs="Times New Roman" w:hint="eastAsia" w:eastAsia="黑体"/>
          <w:b w:val="false"/>
          <w:spacing w:val="-4"/>
          <w:sz w:val="32"/>
          <w:szCs w:val="32"/>
        </w:rPr>
        <w:t>第三十五条</w:t>
      </w:r>
      <w:r>
        <w:rPr>
          <w:rFonts w:ascii="Times New Roman" w:hAnsi="Times New Roman" w:cs="Times New Roman" w:eastAsia="仿宋_GB2312"/>
          <w:b w:val="false"/>
          <w:spacing w:val="-4"/>
          <w:sz w:val="32"/>
          <w:szCs w:val="32"/>
        </w:rPr>
        <w:t xml:space="preserve">  </w:t>
      </w:r>
      <w:r>
        <w:rPr>
          <w:rFonts w:ascii="Times New Roman" w:hAnsi="Times New Roman" w:cs="Times New Roman" w:hint="eastAsia" w:eastAsia="仿宋_GB2312"/>
          <w:b w:val="false"/>
          <w:spacing w:val="-4"/>
          <w:sz w:val="32"/>
          <w:szCs w:val="32"/>
        </w:rPr>
        <w:t>鼓励单位和个人通过捐赠、资助或者提供服务等方式参与终身学习促进工作。</w:t>
      </w:r>
    </w:p>
    <w:p>
      <w:pPr>
        <w:pStyle w:val="Normal"/>
        <w:spacing w:lineRule="exact" w:line="590"/>
        <w:ind w:endChars="0" w:end="0"/>
        <w:jc w:val="center"/>
        <w:rPr>
          <w:rFonts w:ascii="Times New Roman" w:hAnsi="Times New Roman" w:eastAsia="黑体" w:cs="Times New Roman"/>
          <w:b/>
          <w:spacing w:val="-4"/>
          <w:sz w:val="32"/>
          <w:szCs w:val="32"/>
        </w:rPr>
      </w:pPr>
      <w:r>
        <w:rPr>
          <w:rFonts w:eastAsia="黑体" w:cs="Times New Roman" w:ascii="Times New Roman" w:hAnsi="Times New Roman"/>
          <w:b/>
          <w:spacing w:val="-4"/>
          <w:sz w:val="32"/>
          <w:szCs w:val="32"/>
        </w:rPr>
      </w:r>
    </w:p>
    <w:p>
      <w:pPr>
        <w:pStyle w:val="Normal"/>
        <w:spacing w:lineRule="exact" w:line="590"/>
        <w:ind w:firstLineChars="0" w:firstLine="0" w:endChars="0" w:end="0"/>
        <w:jc w:val="center"/>
        <w:rPr>
          <w:rFonts w:eastAsia="黑体"/>
          <w:spacing w:val="-4"/>
          <w:szCs w:val="32"/>
        </w:rPr>
      </w:pPr>
      <w:r>
        <w:rPr>
          <w:rFonts w:hint="eastAsia" w:eastAsia="黑体"/>
          <w:spacing w:val="-4"/>
          <w:szCs w:val="32"/>
        </w:rPr>
        <w:t>第五章</w:t>
      </w:r>
      <w:r>
        <w:rPr>
          <w:rFonts w:eastAsia="黑体"/>
          <w:spacing w:val="-4"/>
          <w:szCs w:val="32"/>
        </w:rPr>
        <w:t xml:space="preserve">  </w:t>
      </w:r>
      <w:r>
        <w:rPr>
          <w:rFonts w:hint="eastAsia" w:eastAsia="黑体"/>
          <w:spacing w:val="-4"/>
          <w:szCs w:val="32"/>
        </w:rPr>
        <w:t>保障促进</w:t>
      </w:r>
    </w:p>
    <w:p>
      <w:pPr>
        <w:pStyle w:val="TOC3"/>
        <w:spacing w:lineRule="exact" w:line="590"/>
        <w:ind w:endChars="0" w:end="0"/>
        <w:rPr>
          <w:rFonts w:ascii="Times New Roman" w:hAnsi="Times New Roman" w:eastAsia="黑体" w:cs="Times New Roman" w:hint="eastAsia"/>
          <w:b w:val="false"/>
          <w:bCs/>
          <w:spacing w:val="-4"/>
          <w:sz w:val="32"/>
          <w:szCs w:val="32"/>
        </w:rPr>
      </w:pPr>
      <w:r>
        <w:rPr>
          <w:rFonts w:eastAsia="黑体" w:cs="Times New Roman" w:hint="eastAsia" w:ascii="Times New Roman" w:hAnsi="Times New Roman"/>
          <w:b w:val="false"/>
          <w:bCs/>
          <w:spacing w:val="-4"/>
          <w:sz w:val="32"/>
          <w:szCs w:val="32"/>
        </w:rPr>
      </w:r>
    </w:p>
    <w:p>
      <w:pPr>
        <w:pStyle w:val="TOC3"/>
        <w:spacing w:lineRule="exact" w:line="590"/>
        <w:ind w:endChars="0" w:end="0"/>
        <w:rPr>
          <w:rFonts w:ascii="Times New Roman" w:hAnsi="Times New Roman" w:eastAsia="黑体" w:cs="Times New Roman"/>
          <w:b w:val="false"/>
          <w:bCs/>
          <w:spacing w:val="-4"/>
          <w:sz w:val="32"/>
          <w:szCs w:val="32"/>
        </w:rPr>
      </w:pPr>
      <w:r>
        <w:rPr>
          <w:rFonts w:ascii="Times New Roman" w:hAnsi="Times New Roman" w:cs="Times New Roman" w:hint="eastAsia" w:eastAsia="黑体"/>
          <w:b w:val="false"/>
          <w:bCs/>
          <w:spacing w:val="-4"/>
          <w:sz w:val="32"/>
          <w:szCs w:val="32"/>
        </w:rPr>
        <w:t>第三十六条</w:t>
      </w:r>
      <w:r>
        <w:rPr>
          <w:rFonts w:ascii="Times New Roman" w:hAnsi="Times New Roman" w:cs="Times New Roman" w:eastAsia="黑体"/>
          <w:b w:val="false"/>
          <w:bCs/>
          <w:spacing w:val="-4"/>
          <w:sz w:val="32"/>
          <w:szCs w:val="32"/>
        </w:rPr>
        <w:t xml:space="preserve"> </w:t>
      </w:r>
      <w:r>
        <w:rPr>
          <w:rFonts w:ascii="Times New Roman" w:hAnsi="Times New Roman" w:cs="Times New Roman"/>
          <w:spacing w:val="-4"/>
          <w:sz w:val="32"/>
          <w:szCs w:val="32"/>
        </w:rPr>
        <w:t xml:space="preserve"> </w:t>
      </w:r>
      <w:r>
        <w:rPr>
          <w:rFonts w:ascii="Times New Roman" w:hAnsi="Times New Roman" w:cs="Times New Roman" w:hint="eastAsia" w:eastAsia="仿宋_GB2312"/>
          <w:b w:val="false"/>
          <w:spacing w:val="-4"/>
          <w:sz w:val="32"/>
          <w:szCs w:val="32"/>
        </w:rPr>
        <w:t>鼓励创新终身学习载体和形式，创建品牌学习活动项目，充分利用互联网、移动通讯等方式提供学习资源，开展团队学习、体验学习、在线学习，方便市民灵活自主学习。</w:t>
      </w:r>
    </w:p>
    <w:p>
      <w:pPr>
        <w:pStyle w:val="Normal"/>
        <w:spacing w:lineRule="exact" w:line="590"/>
        <w:ind w:endChars="0" w:end="0"/>
        <w:rPr>
          <w:spacing w:val="-4"/>
          <w:szCs w:val="32"/>
        </w:rPr>
      </w:pPr>
      <w:r>
        <w:rPr>
          <w:rFonts w:hint="eastAsia" w:eastAsia="黑体"/>
          <w:spacing w:val="-4"/>
          <w:szCs w:val="32"/>
        </w:rPr>
        <w:t>第三十七条</w:t>
      </w:r>
      <w:r>
        <w:rPr>
          <w:spacing w:val="-4"/>
          <w:szCs w:val="32"/>
        </w:rPr>
        <w:t xml:space="preserve">  </w:t>
      </w:r>
      <w:r>
        <w:rPr>
          <w:rFonts w:hint="eastAsia"/>
          <w:spacing w:val="-4"/>
          <w:szCs w:val="32"/>
        </w:rPr>
        <w:t>机关、人民团体、企业事业单位和社会组织应当积极参与终身学习促进工作。</w:t>
      </w:r>
    </w:p>
    <w:p>
      <w:pPr>
        <w:pStyle w:val="Normal"/>
        <w:spacing w:lineRule="exact" w:line="590"/>
        <w:ind w:endChars="0" w:end="0"/>
        <w:rPr>
          <w:spacing w:val="-4"/>
          <w:szCs w:val="32"/>
        </w:rPr>
      </w:pPr>
      <w:r>
        <w:rPr>
          <w:rFonts w:hint="eastAsia"/>
          <w:spacing w:val="-4"/>
          <w:szCs w:val="32"/>
        </w:rPr>
        <w:t>公职人员、人大代表、政协委员、先进模范人物、社会公众人物应当在终身学习促进工作中发挥表率作用。</w:t>
      </w:r>
    </w:p>
    <w:p>
      <w:pPr>
        <w:pStyle w:val="Normal"/>
        <w:shd w:fill="FFFFFF" w:val="clear"/>
        <w:spacing w:lineRule="exact" w:line="590"/>
        <w:ind w:endChars="0" w:end="0"/>
        <w:rPr>
          <w:spacing w:val="-4"/>
          <w:szCs w:val="32"/>
        </w:rPr>
      </w:pPr>
      <w:r>
        <w:rPr>
          <w:rFonts w:hint="eastAsia" w:eastAsia="黑体"/>
          <w:spacing w:val="-4"/>
          <w:szCs w:val="32"/>
        </w:rPr>
        <w:t>第三十八条</w:t>
      </w:r>
      <w:r>
        <w:rPr>
          <w:spacing w:val="-4"/>
          <w:szCs w:val="32"/>
        </w:rPr>
        <w:t xml:space="preserve">  </w:t>
      </w:r>
      <w:r>
        <w:rPr>
          <w:rFonts w:hint="eastAsia"/>
          <w:spacing w:val="-4"/>
          <w:szCs w:val="32"/>
        </w:rPr>
        <w:t>鼓励开展学习型企业、学习型单位、学习型社区、学习型家庭、学习型社团等各类学习型组织建设，促进学习型社会建设。</w:t>
      </w:r>
    </w:p>
    <w:p>
      <w:pPr>
        <w:pStyle w:val="Normal"/>
        <w:shd w:fill="FFFFFF" w:val="clear"/>
        <w:spacing w:lineRule="exact" w:line="590"/>
        <w:ind w:endChars="0" w:end="0"/>
        <w:rPr>
          <w:spacing w:val="-4"/>
          <w:szCs w:val="32"/>
        </w:rPr>
      </w:pPr>
      <w:r>
        <w:rPr>
          <w:rFonts w:hint="eastAsia"/>
          <w:spacing w:val="-4"/>
          <w:szCs w:val="32"/>
        </w:rPr>
        <w:t>鼓励各类学习型组织开展本组织成员的终身学习活动。</w:t>
      </w:r>
    </w:p>
    <w:p>
      <w:pPr>
        <w:pStyle w:val="Normal"/>
        <w:spacing w:lineRule="exact" w:line="590"/>
        <w:ind w:endChars="0" w:end="0"/>
        <w:rPr>
          <w:spacing w:val="-4"/>
          <w:szCs w:val="32"/>
        </w:rPr>
      </w:pPr>
      <w:r>
        <w:rPr>
          <w:rFonts w:hint="eastAsia"/>
          <w:spacing w:val="-4"/>
          <w:szCs w:val="32"/>
        </w:rPr>
        <w:t>鼓励老年人自主学习，支持建立各类兴趣学习团队。</w:t>
      </w:r>
    </w:p>
    <w:p>
      <w:pPr>
        <w:pStyle w:val="Normal"/>
        <w:spacing w:lineRule="exact" w:line="590"/>
        <w:ind w:endChars="0" w:end="0"/>
        <w:rPr>
          <w:szCs w:val="32"/>
        </w:rPr>
      </w:pPr>
      <w:r>
        <w:rPr>
          <w:rFonts w:hint="eastAsia" w:eastAsia="黑体"/>
          <w:spacing w:val="-4"/>
          <w:szCs w:val="32"/>
        </w:rPr>
        <w:t>第三十九条</w:t>
      </w:r>
      <w:r>
        <w:rPr>
          <w:spacing w:val="-4"/>
          <w:szCs w:val="32"/>
        </w:rPr>
        <w:t xml:space="preserve">  </w:t>
      </w:r>
      <w:r>
        <w:rPr>
          <w:rFonts w:hint="eastAsia"/>
          <w:szCs w:val="32"/>
        </w:rPr>
        <w:t>教育、人力资源和社会保障、工会等部门和单位应当制定鼓励在职人员参加教育培训的有关制度。</w:t>
      </w:r>
    </w:p>
    <w:p>
      <w:pPr>
        <w:pStyle w:val="TOC3"/>
        <w:spacing w:lineRule="exact" w:line="590"/>
        <w:ind w:endChars="0" w:end="0"/>
        <w:rPr>
          <w:rFonts w:ascii="Times New Roman" w:hAnsi="Times New Roman" w:eastAsia="仿宋_GB2312" w:cs="Times New Roman"/>
          <w:b w:val="false"/>
          <w:spacing w:val="-4"/>
          <w:sz w:val="32"/>
          <w:szCs w:val="32"/>
        </w:rPr>
      </w:pPr>
      <w:r>
        <w:rPr>
          <w:rFonts w:ascii="Times New Roman" w:hAnsi="Times New Roman" w:cs="Times New Roman" w:hint="eastAsia" w:eastAsia="仿宋_GB2312"/>
          <w:b w:val="false"/>
          <w:spacing w:val="-4"/>
          <w:sz w:val="32"/>
          <w:szCs w:val="32"/>
        </w:rPr>
        <w:t>机关、人民团体、企业事业单位和社会组织应当为在职人员终身学习创造条件，可以通过与院校联合办学、委托培训等方式，依法开展在职人员教育培训，提高在职人员素质。</w:t>
      </w:r>
    </w:p>
    <w:p>
      <w:pPr>
        <w:pStyle w:val="TOC3"/>
        <w:spacing w:lineRule="exact" w:line="590"/>
        <w:ind w:endChars="0" w:end="0"/>
        <w:rPr>
          <w:rFonts w:ascii="Times New Roman" w:hAnsi="Times New Roman" w:eastAsia="仿宋_GB2312" w:cs="Times New Roman"/>
          <w:b w:val="false"/>
          <w:spacing w:val="-4"/>
          <w:sz w:val="32"/>
          <w:szCs w:val="32"/>
        </w:rPr>
      </w:pPr>
      <w:r>
        <w:rPr>
          <w:rFonts w:ascii="Times New Roman" w:hAnsi="Times New Roman" w:cs="Times New Roman" w:hint="eastAsia" w:eastAsia="仿宋_GB2312"/>
          <w:b w:val="false"/>
          <w:spacing w:val="-4"/>
          <w:sz w:val="32"/>
          <w:szCs w:val="32"/>
        </w:rPr>
        <w:t>鼓励建立带薪学习制度，支持在职人员终身学习。</w:t>
      </w:r>
    </w:p>
    <w:p>
      <w:pPr>
        <w:pStyle w:val="Normal"/>
        <w:spacing w:lineRule="exact" w:line="590"/>
        <w:ind w:endChars="0" w:end="0"/>
        <w:rPr>
          <w:spacing w:val="-4"/>
          <w:szCs w:val="32"/>
        </w:rPr>
      </w:pPr>
      <w:r>
        <w:rPr>
          <w:rFonts w:hint="eastAsia" w:eastAsia="黑体"/>
          <w:spacing w:val="-4"/>
          <w:szCs w:val="32"/>
        </w:rPr>
        <w:t>第四十条</w:t>
      </w:r>
      <w:r>
        <w:rPr>
          <w:spacing w:val="-4"/>
          <w:szCs w:val="32"/>
        </w:rPr>
        <w:t xml:space="preserve">  </w:t>
      </w:r>
      <w:r>
        <w:rPr>
          <w:rFonts w:hint="eastAsia"/>
          <w:spacing w:val="-4"/>
          <w:szCs w:val="32"/>
        </w:rPr>
        <w:t>市、县级市（区）人民政府应当建立健全终身学习激励机制，逐步建立终身学习学分积累与转换制度，实现不同类型学习成果的互认和衔接。</w:t>
      </w:r>
    </w:p>
    <w:p>
      <w:pPr>
        <w:pStyle w:val="TOC3"/>
        <w:spacing w:lineRule="exact" w:line="590"/>
        <w:ind w:endChars="0" w:end="0"/>
        <w:rPr>
          <w:rFonts w:ascii="Times New Roman" w:hAnsi="Times New Roman" w:eastAsia="仿宋_GB2312" w:cs="Times New Roman"/>
          <w:b w:val="false"/>
          <w:spacing w:val="-4"/>
          <w:sz w:val="32"/>
          <w:szCs w:val="32"/>
        </w:rPr>
      </w:pPr>
      <w:r>
        <w:rPr>
          <w:rFonts w:ascii="Calibri" w:hAnsi="Calibri" w:cs="Times New Roman" w:hint="eastAsia" w:eastAsia="仿宋_GB2312"/>
          <w:b w:val="false"/>
          <w:spacing w:val="6"/>
          <w:sz w:val="32"/>
          <w:szCs w:val="32"/>
        </w:rPr>
        <w:t>鼓励通过学分银行、学分记录等多种方式，开展终身学习活动</w:t>
      </w:r>
      <w:r>
        <w:rPr>
          <w:rFonts w:ascii="Times New Roman" w:hAnsi="Times New Roman" w:cs="Times New Roman" w:hint="eastAsia" w:eastAsia="仿宋_GB2312"/>
          <w:b w:val="false"/>
          <w:spacing w:val="-4"/>
          <w:sz w:val="32"/>
          <w:szCs w:val="32"/>
        </w:rPr>
        <w:t>。</w:t>
      </w:r>
    </w:p>
    <w:p>
      <w:pPr>
        <w:pStyle w:val="Normal"/>
        <w:spacing w:lineRule="exact" w:line="590"/>
        <w:ind w:endChars="0" w:end="0"/>
        <w:rPr>
          <w:spacing w:val="-4"/>
          <w:szCs w:val="32"/>
        </w:rPr>
      </w:pPr>
      <w:r>
        <w:rPr>
          <w:rFonts w:hint="eastAsia"/>
          <w:spacing w:val="-4"/>
          <w:szCs w:val="32"/>
        </w:rPr>
        <w:t>市民可以通过累积学习时间和课程考核等方式获得终身学习学分。</w:t>
      </w:r>
    </w:p>
    <w:p>
      <w:pPr>
        <w:pStyle w:val="Normal"/>
        <w:spacing w:lineRule="exact" w:line="590"/>
        <w:ind w:endChars="0" w:end="0"/>
        <w:rPr>
          <w:spacing w:val="-4"/>
          <w:szCs w:val="32"/>
        </w:rPr>
      </w:pPr>
      <w:r>
        <w:rPr>
          <w:rFonts w:hint="eastAsia" w:eastAsia="黑体"/>
          <w:spacing w:val="-4"/>
          <w:szCs w:val="32"/>
        </w:rPr>
        <w:t>第四十一条</w:t>
      </w:r>
      <w:r>
        <w:rPr>
          <w:spacing w:val="-4"/>
          <w:szCs w:val="32"/>
        </w:rPr>
        <w:t xml:space="preserve">  </w:t>
      </w:r>
      <w:r>
        <w:rPr>
          <w:rFonts w:hint="eastAsia"/>
          <w:spacing w:val="-4"/>
          <w:szCs w:val="32"/>
        </w:rPr>
        <w:t>对在开展终身学习促进工作中做出突出贡献的单位和个人，按照国家和省有关规定给予表彰、奖励。</w:t>
      </w:r>
    </w:p>
    <w:p>
      <w:pPr>
        <w:pStyle w:val="Normal"/>
        <w:spacing w:lineRule="exact" w:line="590"/>
        <w:ind w:endChars="0" w:end="0"/>
        <w:rPr>
          <w:spacing w:val="-4"/>
          <w:szCs w:val="32"/>
        </w:rPr>
      </w:pPr>
      <w:r>
        <w:rPr>
          <w:rFonts w:hint="eastAsia" w:eastAsia="黑体"/>
          <w:spacing w:val="-4"/>
          <w:szCs w:val="32"/>
        </w:rPr>
        <w:t>第四十二条</w:t>
      </w:r>
      <w:r>
        <w:rPr>
          <w:spacing w:val="-4"/>
          <w:szCs w:val="32"/>
        </w:rPr>
        <w:t xml:space="preserve">  </w:t>
      </w:r>
      <w:r>
        <w:rPr>
          <w:rFonts w:hint="eastAsia"/>
          <w:spacing w:val="-4"/>
          <w:szCs w:val="32"/>
        </w:rPr>
        <w:t>市、县级市（区）人民政府应当建立健全教育督导机制，将终身学习促进工作纳入政府年度教育履职评价。</w:t>
      </w:r>
    </w:p>
    <w:p>
      <w:pPr>
        <w:pStyle w:val="TOC3"/>
        <w:spacing w:lineRule="exact" w:line="590"/>
        <w:ind w:endChars="0" w:end="0"/>
        <w:rPr>
          <w:rFonts w:ascii="Times New Roman" w:hAnsi="Times New Roman" w:eastAsia="仿宋_GB2312" w:cs="Times New Roman"/>
          <w:b w:val="false"/>
          <w:spacing w:val="-4"/>
          <w:sz w:val="32"/>
          <w:szCs w:val="32"/>
        </w:rPr>
      </w:pPr>
      <w:r>
        <w:rPr>
          <w:rFonts w:ascii="Times New Roman" w:hAnsi="Times New Roman" w:cs="Times New Roman" w:hint="eastAsia" w:eastAsia="仿宋_GB2312"/>
          <w:b w:val="false"/>
          <w:spacing w:val="-4"/>
          <w:sz w:val="32"/>
          <w:szCs w:val="32"/>
        </w:rPr>
        <w:t>教育、民政、人力资源和社会保障等有关部门按照各自职责，定期对终身学习教育机构进行监督检查和评估。</w:t>
      </w:r>
    </w:p>
    <w:p>
      <w:pPr>
        <w:pStyle w:val="Normal"/>
        <w:spacing w:lineRule="exact" w:line="590"/>
        <w:ind w:endChars="0" w:end="0"/>
        <w:jc w:val="center"/>
        <w:rPr>
          <w:rFonts w:ascii="Times New Roman" w:hAnsi="Times New Roman" w:eastAsia="黑体" w:cs="Times New Roman"/>
          <w:b/>
          <w:spacing w:val="-4"/>
          <w:sz w:val="32"/>
          <w:szCs w:val="32"/>
        </w:rPr>
      </w:pPr>
      <w:r>
        <w:rPr>
          <w:rFonts w:eastAsia="黑体" w:cs="Times New Roman" w:ascii="Times New Roman" w:hAnsi="Times New Roman"/>
          <w:b/>
          <w:spacing w:val="-4"/>
          <w:sz w:val="32"/>
          <w:szCs w:val="32"/>
        </w:rPr>
      </w:r>
    </w:p>
    <w:p>
      <w:pPr>
        <w:pStyle w:val="Normal"/>
        <w:spacing w:lineRule="exact" w:line="590"/>
        <w:ind w:firstLineChars="0" w:firstLine="0" w:endChars="0" w:end="0"/>
        <w:jc w:val="center"/>
        <w:rPr>
          <w:rFonts w:eastAsia="黑体"/>
          <w:spacing w:val="-4"/>
          <w:szCs w:val="32"/>
        </w:rPr>
      </w:pPr>
      <w:r>
        <w:rPr>
          <w:rFonts w:hint="eastAsia" w:eastAsia="黑体"/>
          <w:spacing w:val="-4"/>
          <w:szCs w:val="32"/>
        </w:rPr>
        <w:t>第六章</w:t>
      </w:r>
      <w:r>
        <w:rPr>
          <w:rFonts w:eastAsia="黑体"/>
          <w:spacing w:val="-4"/>
          <w:szCs w:val="32"/>
        </w:rPr>
        <w:t xml:space="preserve">  </w:t>
      </w:r>
      <w:r>
        <w:rPr>
          <w:rFonts w:hint="eastAsia" w:eastAsia="黑体"/>
          <w:spacing w:val="-4"/>
          <w:szCs w:val="32"/>
        </w:rPr>
        <w:t>附则</w:t>
      </w:r>
    </w:p>
    <w:p>
      <w:pPr>
        <w:pStyle w:val="Normal"/>
        <w:spacing w:lineRule="exact" w:line="590"/>
        <w:ind w:endChars="0" w:end="0"/>
        <w:rPr>
          <w:rFonts w:eastAsia="黑体" w:hint="eastAsia"/>
          <w:spacing w:val="-4"/>
          <w:szCs w:val="32"/>
        </w:rPr>
      </w:pPr>
      <w:r>
        <w:rPr>
          <w:rFonts w:eastAsia="黑体" w:hint="eastAsia"/>
          <w:spacing w:val="-4"/>
          <w:szCs w:val="32"/>
        </w:rPr>
      </w:r>
    </w:p>
    <w:p>
      <w:pPr>
        <w:pStyle w:val="Normal"/>
        <w:spacing w:lineRule="exact" w:line="590"/>
        <w:ind w:endChars="0" w:end="0"/>
        <w:rPr>
          <w:rFonts w:ascii="Times New Roman" w:hAnsi="Times New Roman" w:cs="Times New Roman" w:hint="eastAsia"/>
          <w:spacing w:val="-8"/>
          <w:szCs w:val="32"/>
        </w:rPr>
      </w:pPr>
      <w:r>
        <w:rPr>
          <w:rFonts w:hint="eastAsia" w:eastAsia="黑体"/>
          <w:spacing w:val="-4"/>
          <w:szCs w:val="32"/>
        </w:rPr>
        <w:t xml:space="preserve">第四十三条  </w:t>
      </w:r>
      <w:r>
        <w:rPr>
          <w:rFonts w:ascii="Times New Roman" w:hAnsi="Times New Roman" w:cs="Times New Roman" w:hint="eastAsia"/>
          <w:spacing w:val="-8"/>
          <w:szCs w:val="32"/>
        </w:rPr>
        <w:t>本条例自</w:t>
      </w:r>
      <w:r>
        <w:rPr>
          <w:rFonts w:cs="Times New Roman" w:ascii="Times New Roman" w:hAnsi="Times New Roman"/>
          <w:spacing w:val="-8"/>
          <w:szCs w:val="32"/>
        </w:rPr>
        <w:t>2023</w:t>
      </w:r>
      <w:r>
        <w:rPr>
          <w:rFonts w:ascii="Times New Roman" w:hAnsi="Times New Roman" w:cs="Times New Roman" w:hint="eastAsia"/>
          <w:spacing w:val="-8"/>
          <w:szCs w:val="32"/>
        </w:rPr>
        <w:t>年</w:t>
      </w:r>
      <w:r>
        <w:rPr>
          <w:rFonts w:cs="Times New Roman" w:ascii="Times New Roman" w:hAnsi="Times New Roman"/>
          <w:spacing w:val="-8"/>
          <w:szCs w:val="32"/>
        </w:rPr>
        <w:t>6</w:t>
      </w:r>
      <w:r>
        <w:rPr>
          <w:rFonts w:ascii="Times New Roman" w:hAnsi="Times New Roman" w:cs="Times New Roman" w:hint="eastAsia"/>
          <w:spacing w:val="-8"/>
          <w:szCs w:val="32"/>
        </w:rPr>
        <w:t>月</w:t>
      </w:r>
      <w:r>
        <w:rPr>
          <w:rFonts w:cs="Times New Roman" w:ascii="Times New Roman" w:hAnsi="Times New Roman"/>
          <w:spacing w:val="-8"/>
          <w:szCs w:val="32"/>
        </w:rPr>
        <w:t>1</w:t>
      </w:r>
      <w:r>
        <w:rPr>
          <w:rFonts w:ascii="Times New Roman" w:hAnsi="Times New Roman" w:cs="Times New Roman" w:hint="eastAsia"/>
          <w:spacing w:val="-8"/>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pacing w:val="-8"/>
          <w:sz w:val="54"/>
          <w:szCs w:val="54"/>
        </w:rPr>
      </w:pPr>
      <w:r>
        <w:rPr>
          <w:rFonts w:eastAsia="宋体" w:cs="Times New Roman" w:hint="eastAsia" w:ascii="Times New Roman" w:hAnsi="Times New Roman"/>
          <w:b/>
          <w:color w:val="000000"/>
          <w:spacing w:val="-8"/>
          <w:sz w:val="54"/>
          <w:szCs w:val="54"/>
        </w:rPr>
      </w:r>
    </w:p>
    <w:sectPr>
      <w:headerReference w:type="default" r:id="rId2"/>
      <w:footerReference w:type="default" r:id="rId3"/>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等线">
    <w:altName w:val="宋体"/>
    <w:charset w:val="86"/>
    <w:family w:val="auto"/>
    <w:pitch w:val="default"/>
  </w:font>
  <w:font w:name="方正黑体简体">
    <w:charset w:val="86"/>
    <w:family w:val="script"/>
    <w:pitch w:val="default"/>
  </w:font>
  <w:font w:name="方正楷体简体">
    <w:charset w:val="86"/>
    <w:family w:val="script"/>
    <w:pitch w:val="default"/>
  </w:font>
  <w:font w:name="Calibri">
    <w:charset w:val="00" w:characterSet="windows-1252"/>
    <w:family w:val="swiss"/>
    <w:pitch w:val="default"/>
  </w:font>
  <w:font w:name="方正小标宋_GBK">
    <w:altName w:val="微软雅黑"/>
    <w:charset w:val="86"/>
    <w:family w:val="auto"/>
    <w:pitch w:val="default"/>
  </w:font>
  <w:font w:name="方正仿宋_GBK">
    <w:altName w:val="微软雅黑"/>
    <w:charset w:val="86"/>
    <w:family w:val="script"/>
    <w:pitch w:val="default"/>
  </w:font>
  <w:font w:name="方正楷体_GBK">
    <w:altName w:val="微软雅黑"/>
    <w:charset w:val="86"/>
    <w:family w:val="auto"/>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5501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55015" cy="511175"/>
                      </a:xfrm>
                      <a:prstGeom prst="rect"/>
                      <a:solidFill>
                        <a:srgbClr val="FFFFFF">
                          <a:alpha val="0"/>
                        </a:srgbClr>
                      </a:solidFill>
                    </wps:spPr>
                    <wps:txbx>
                      <w:txbxContent>
                        <w:p>
                          <w:pPr>
                            <w:pStyle w:val="Footer"/>
                            <w:ind w:startChars="100" w:endChars="0" w:end="0"/>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9.45pt;height:40.25pt;mso-wrap-distance-left:0pt;mso-wrap-distance-right:0pt;mso-wrap-distance-top:0pt;mso-wrap-distance-bottom:0pt;margin-top:0.05pt;mso-position-vertical-relative:text;margin-left:382.75pt;mso-position-horizontal:outside;mso-position-horizontal-relative:margin">
              <v:fill opacity="0f"/>
              <v:textbox inset="0in,0in,0in,0in">
                <w:txbxContent>
                  <w:p>
                    <w:pPr>
                      <w:pStyle w:val="Footer"/>
                      <w:ind w:startChars="100" w:endChars="0" w:end="0"/>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rgroup">
    <w:name w:val="rgroup"/>
    <w:qFormat/>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spacing w:before="240" w:after="60"/>
      <w:jc w:val="center"/>
      <w:textAlignment w:val="baseline"/>
    </w:pPr>
    <w:rPr>
      <w:rFonts w:ascii="Cambria" w:hAnsi="Cambria" w:cs="Cambria"/>
      <w:b/>
      <w:bCs/>
    </w:rPr>
  </w:style>
  <w:style w:type="paragraph" w:styleId="BodyText">
    <w:name w:val="Body Text"/>
    <w:basedOn w:val="Normal"/>
    <w:next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文本块"/>
    <w:basedOn w:val="Normal"/>
    <w:qFormat/>
    <w:pPr>
      <w:ind w:firstLineChars="200" w:startChars="700" w:endChars="700"/>
    </w:pPr>
    <w:rPr/>
  </w:style>
  <w:style w:type="paragraph" w:styleId="5">
    <w:name w:val="索引 5"/>
    <w:basedOn w:val="Normal"/>
    <w:next w:val="Normal"/>
    <w:qFormat/>
    <w:pPr>
      <w:ind w:firstLineChars="200" w:startChars="800" w:endChars="0" w:end="0"/>
    </w:pPr>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引文目录"/>
    <w:basedOn w:val="Normal"/>
    <w:next w:val="Normal"/>
    <w:qFormat/>
    <w:pPr>
      <w:ind w:firstLineChars="200" w:startChars="200" w:endChars="0" w:end="0"/>
    </w:pPr>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6">
    <w:name w:val="正文缩进"/>
    <w:basedOn w:val="Normal"/>
    <w:qFormat/>
    <w:pPr>
      <w:ind w:firstLineChars="200" w:startChars="0" w:start="0" w:endChars="0" w:end="0"/>
    </w:pPr>
    <w:rPr/>
  </w:style>
  <w:style w:type="paragraph" w:styleId="TOC3">
    <w:name w:val="toc 3"/>
    <w:basedOn w:val="Normal"/>
    <w:next w:val="Normal"/>
    <w:pPr>
      <w:ind w:firstLineChars="200" w:startChars="0" w:start="0" w:endChars="0" w:end="0"/>
    </w:pPr>
    <w:rPr>
      <w:rFonts w:ascii="等线;宋体" w:hAnsi="等线;宋体" w:eastAsia="等线;宋体" w:cs="等线;宋体"/>
      <w:b/>
      <w:sz w:val="30"/>
      <w:szCs w:val="3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71">
    <w:name w:val="_Style 7"/>
    <w:basedOn w:val="Normal"/>
    <w:qFormat/>
    <w:pPr>
      <w:widowControl/>
      <w:spacing w:lineRule="exact" w:line="240" w:before="0" w:after="160"/>
      <w:jc w:val="start"/>
    </w:pPr>
    <w:rPr/>
  </w:style>
  <w:style w:type="paragraph" w:styleId="HTML">
    <w:name w:val="HTML 预设格式"/>
    <w:basedOn w:val="Normal"/>
    <w:qFormat/>
    <w:pP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szCs w:val="24"/>
    </w:rPr>
  </w:style>
  <w:style w:type="paragraph" w:styleId="BodyTextFirstIndent2">
    <w:name w:val="Body Text First Indent 2"/>
    <w:basedOn w:val="Normal"/>
    <w:next w:val="Normal"/>
    <w:qFormat/>
    <w:pPr>
      <w:spacing w:before="0" w:after="120"/>
      <w:ind w:firstLineChars="200" w:startChars="200" w:endChars="0" w:end="0"/>
    </w:pPr>
    <w:rPr/>
  </w:style>
  <w:style w:type="paragraph" w:styleId="Style17">
    <w:name w:val="普通(网站)"/>
    <w:basedOn w:val="Normal"/>
    <w:next w:val="5"/>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 w:hAnsi="方正黑体简体" w:eastAsia="方正黑体简体"/>
    </w:rPr>
  </w:style>
  <w:style w:type="paragraph" w:styleId="1">
    <w:name w:val="列出段落1"/>
    <w:basedOn w:val="Normal"/>
    <w:qFormat/>
    <w:pPr>
      <w:ind w:firstLineChars="200" w:startChars="0" w:start="0" w:endChars="0" w:end="0"/>
    </w:pPr>
    <w:rPr>
      <w:rFonts w:hint="eastAsia"/>
      <w:szCs w:val="20"/>
    </w:rPr>
  </w:style>
  <w:style w:type="paragraph" w:styleId="51">
    <w:name w:val="标题5"/>
    <w:basedOn w:val="Normal"/>
    <w:next w:val="Normal"/>
    <w:qFormat/>
    <w:pPr/>
    <w:rPr>
      <w:rFonts w:ascii="方正楷体简体" w:hAnsi="方正楷体简体" w:eastAsia="方正楷体简体"/>
    </w:rPr>
  </w:style>
  <w:style w:type="paragraph" w:styleId="4">
    <w:name w:val="标题4"/>
    <w:basedOn w:val="31"/>
    <w:next w:val="Normal"/>
    <w:qFormat/>
    <w:pPr>
      <w:jc w:val="center"/>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8">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Style19">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2023-02-10T17:57:00Z</dcterms:created>
  <dc:creator>admin</dc:creator>
  <dc:description/>
  <dc:language>en-US</dc:language>
  <cp:lastModifiedBy>何正喜</cp:lastModifiedBy>
  <cp:lastPrinted>2018-06-27T14:51:00Z</cp:lastPrinted>
  <dcterms:modified xsi:type="dcterms:W3CDTF">2023-02-15T09:47:48Z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