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/>
        <w:ind w:endChars="0" w:end="0"/>
        <w:jc w:val="center"/>
        <w:rPr>
          <w:rFonts w:ascii="宋体" w:hAnsi="宋体" w:cs="宋体" w:hint="eastAsia"/>
          <w:bCs/>
          <w:sz w:val="44"/>
          <w:szCs w:val="44"/>
        </w:rPr>
      </w:pPr>
      <w:r>
        <w:rPr>
          <w:rFonts w:cs="宋体" w:hint="eastAsia" w:ascii="宋体" w:hAnsi="宋体"/>
          <w:bCs/>
          <w:sz w:val="44"/>
          <w:szCs w:val="44"/>
        </w:rPr>
      </w:r>
    </w:p>
    <w:p>
      <w:pPr>
        <w:pStyle w:val="Normal"/>
        <w:spacing w:lineRule="exact" w:line="560"/>
        <w:ind w:endChars="0" w:end="0"/>
        <w:jc w:val="center"/>
        <w:rPr>
          <w:rFonts w:ascii="宋体" w:hAnsi="宋体" w:cs="宋体" w:hint="eastAsia"/>
          <w:bCs/>
          <w:sz w:val="44"/>
          <w:szCs w:val="44"/>
        </w:rPr>
      </w:pPr>
      <w:r>
        <w:rPr>
          <w:rFonts w:cs="宋体" w:hint="eastAsia" w:ascii="宋体" w:hAnsi="宋体"/>
          <w:bCs/>
          <w:sz w:val="44"/>
          <w:szCs w:val="44"/>
        </w:rPr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宿迁市人民代表大会常务委员会</w:t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关于修改《宿迁市古黄河马陵河西民便河</w:t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水环境保护条例》的决定</w:t>
      </w:r>
    </w:p>
    <w:p>
      <w:pPr>
        <w:pStyle w:val="Normal"/>
        <w:overflowPunct w:val="true"/>
        <w:snapToGrid w:val="true"/>
        <w:ind w:firstLineChars="0" w:firstLine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jc w:val="center"/>
        <w:rPr>
          <w:rFonts w:ascii="Times New Roman" w:hAnsi="Times New Roman" w:eastAsia="楷体_GB2312" w:hint="eastAsia"/>
          <w:sz w:val="32"/>
        </w:rPr>
      </w:pPr>
      <w:r>
        <w:rPr>
          <w:rFonts w:ascii="Times New Roman" w:hAnsi="Times New Roman" w:eastAsia="楷体_GB2312"/>
          <w:sz w:val="32"/>
        </w:rPr>
        <w:t>（</w:t>
      </w:r>
      <w:r>
        <w:rPr>
          <w:rFonts w:eastAsia="楷体_GB2312" w:ascii="Times New Roman" w:hAnsi="Times New Roman"/>
          <w:sz w:val="32"/>
        </w:rPr>
        <w:t>202</w:t>
      </w:r>
      <w:r>
        <w:rPr>
          <w:rFonts w:eastAsia="楷体_GB2312" w:hint="eastAsia" w:ascii="Times New Roman" w:hAnsi="Times New Roman"/>
          <w:sz w:val="32"/>
        </w:rPr>
        <w:t>2</w:t>
      </w:r>
      <w:r>
        <w:rPr>
          <w:rFonts w:ascii="Times New Roman" w:hAnsi="Times New Roman" w:eastAsia="楷体_GB2312"/>
          <w:sz w:val="32"/>
        </w:rPr>
        <w:t>年</w:t>
      </w:r>
      <w:r>
        <w:rPr>
          <w:rFonts w:eastAsia="楷体_GB2312" w:hint="eastAsia" w:ascii="Times New Roman" w:hAnsi="Times New Roman"/>
          <w:sz w:val="32"/>
        </w:rPr>
        <w:t>10</w:t>
      </w:r>
      <w:r>
        <w:rPr>
          <w:rFonts w:ascii="Times New Roman" w:hAnsi="Times New Roman" w:eastAsia="楷体_GB2312"/>
          <w:sz w:val="32"/>
        </w:rPr>
        <w:t>月</w:t>
      </w:r>
      <w:r>
        <w:rPr>
          <w:rFonts w:eastAsia="楷体_GB2312" w:hint="eastAsia" w:ascii="Times New Roman" w:hAnsi="Times New Roman"/>
          <w:sz w:val="32"/>
        </w:rPr>
        <w:t>27</w:t>
      </w:r>
      <w:r>
        <w:rPr>
          <w:rFonts w:ascii="Times New Roman" w:hAnsi="Times New Roman" w:eastAsia="楷体_GB2312"/>
          <w:sz w:val="32"/>
        </w:rPr>
        <w:t>日</w:t>
      </w:r>
      <w:r>
        <w:rPr>
          <w:rFonts w:ascii="Times New Roman" w:hAnsi="Times New Roman" w:hint="eastAsia" w:eastAsia="楷体_GB2312"/>
          <w:sz w:val="32"/>
        </w:rPr>
        <w:t>宿迁</w:t>
      </w:r>
      <w:r>
        <w:rPr>
          <w:rFonts w:ascii="Times New Roman" w:hAnsi="Times New Roman" w:eastAsia="楷体_GB2312"/>
          <w:sz w:val="32"/>
        </w:rPr>
        <w:t>市第</w:t>
      </w:r>
      <w:r>
        <w:rPr>
          <w:rFonts w:ascii="Times New Roman" w:hAnsi="Times New Roman" w:hint="eastAsia" w:eastAsia="楷体_GB2312"/>
          <w:sz w:val="32"/>
        </w:rPr>
        <w:t>六</w:t>
      </w:r>
      <w:r>
        <w:rPr>
          <w:rFonts w:ascii="Times New Roman" w:hAnsi="Times New Roman" w:eastAsia="楷体_GB2312"/>
          <w:sz w:val="32"/>
        </w:rPr>
        <w:t>届</w:t>
      </w:r>
      <w:r>
        <w:rPr>
          <w:rFonts w:ascii="Times New Roman" w:hAnsi="Times New Roman" w:hint="eastAsia" w:eastAsia="楷体_GB2312"/>
          <w:sz w:val="32"/>
        </w:rPr>
        <w:t>人民代表大会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jc w:val="center"/>
        <w:rPr>
          <w:rFonts w:ascii="Times New Roman" w:hAnsi="Times New Roman" w:eastAsia="楷体_GB2312" w:hint="eastAsia"/>
          <w:sz w:val="32"/>
        </w:rPr>
      </w:pPr>
      <w:r>
        <w:rPr>
          <w:rFonts w:ascii="Times New Roman" w:hAnsi="Times New Roman" w:hint="eastAsia" w:eastAsia="楷体_GB2312"/>
          <w:sz w:val="32"/>
        </w:rPr>
        <w:t>常务委员会</w:t>
      </w:r>
      <w:r>
        <w:rPr>
          <w:rFonts w:ascii="Times New Roman" w:hAnsi="Times New Roman" w:eastAsia="楷体_GB2312"/>
          <w:sz w:val="32"/>
        </w:rPr>
        <w:t>第</w:t>
      </w:r>
      <w:r>
        <w:rPr>
          <w:rFonts w:ascii="Times New Roman" w:hAnsi="Times New Roman" w:hint="eastAsia" w:eastAsia="楷体_GB2312"/>
          <w:sz w:val="32"/>
        </w:rPr>
        <w:t>六</w:t>
      </w:r>
      <w:r>
        <w:rPr>
          <w:rFonts w:ascii="Times New Roman" w:hAnsi="Times New Roman" w:eastAsia="楷体_GB2312"/>
          <w:sz w:val="32"/>
        </w:rPr>
        <w:t>次会议通过</w:t>
      </w:r>
      <w:r>
        <w:rPr>
          <w:rFonts w:ascii="Times New Roman" w:hAnsi="Times New Roman" w:hint="eastAsia" w:eastAsia="楷体_GB2312"/>
          <w:sz w:val="32"/>
        </w:rPr>
        <w:t xml:space="preserve">  </w:t>
      </w:r>
      <w:r>
        <w:rPr>
          <w:rFonts w:eastAsia="楷体_GB2312" w:hint="eastAsia" w:ascii="Times New Roman" w:hAnsi="Times New Roman"/>
          <w:sz w:val="32"/>
        </w:rPr>
        <w:t>2022</w:t>
      </w:r>
      <w:r>
        <w:rPr>
          <w:rFonts w:ascii="Times New Roman" w:hAnsi="Times New Roman" w:hint="eastAsia" w:eastAsia="楷体_GB2312"/>
          <w:sz w:val="32"/>
        </w:rPr>
        <w:t>年</w:t>
      </w:r>
      <w:r>
        <w:rPr>
          <w:rFonts w:eastAsia="楷体_GB2312" w:hint="eastAsia" w:ascii="Times New Roman" w:hAnsi="Times New Roman"/>
          <w:sz w:val="32"/>
        </w:rPr>
        <w:t>11</w:t>
      </w:r>
      <w:r>
        <w:rPr>
          <w:rFonts w:ascii="Times New Roman" w:hAnsi="Times New Roman" w:hint="eastAsia" w:eastAsia="楷体_GB2312"/>
          <w:sz w:val="32"/>
        </w:rPr>
        <w:t>月</w:t>
      </w:r>
      <w:r>
        <w:rPr>
          <w:rFonts w:eastAsia="楷体_GB2312" w:hint="eastAsia" w:ascii="Times New Roman" w:hAnsi="Times New Roman"/>
          <w:sz w:val="32"/>
        </w:rPr>
        <w:t>25</w:t>
      </w:r>
      <w:r>
        <w:rPr>
          <w:rFonts w:ascii="Times New Roman" w:hAnsi="Times New Roman" w:hint="eastAsia" w:eastAsia="楷体_GB2312"/>
          <w:sz w:val="32"/>
        </w:rPr>
        <w:t>日江苏省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jc w:val="center"/>
        <w:rPr>
          <w:rFonts w:ascii="Times New Roman" w:hAnsi="Times New Roman" w:eastAsia="楷体_GB2312"/>
          <w:sz w:val="32"/>
        </w:rPr>
      </w:pPr>
      <w:r>
        <w:rPr>
          <w:rFonts w:ascii="Times New Roman" w:hAnsi="Times New Roman" w:hint="eastAsia" w:eastAsia="楷体_GB2312"/>
          <w:sz w:val="32"/>
        </w:rPr>
        <w:t>第十三届人民代表大会常务委员会第三十三次会议批准</w:t>
      </w:r>
      <w:r>
        <w:rPr>
          <w:rFonts w:ascii="Times New Roman" w:hAnsi="Times New Roman" w:eastAsia="楷体_GB2312"/>
          <w:sz w:val="32"/>
        </w:rPr>
        <w:t>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  <w:sz w:val="32"/>
        </w:rPr>
      </w:pPr>
      <w:r>
        <w:rPr>
          <w:rFonts w:eastAsia="楷体_GB2312" w:cs="Times New Roman" w:hint="eastAsia" w:ascii="Times New Roman" w:hAnsi="Times New Roman"/>
          <w:sz w:val="32"/>
        </w:rPr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Times New Roman" w:hAnsi="Times New Roman" w:eastAsia="仿宋_GB2312;仿宋"/>
          <w:sz w:val="32"/>
          <w:shd w:fill="FFFFFF" w:val="clear"/>
        </w:rPr>
        <w:t>宿迁市第六届人民代表大会常务委员会第六次会议决定对《宿迁市古黄河马陵河西民便河水环境保护条例》作如下修改：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黑体" w:hAnsi="黑体" w:cs="黑体" w:eastAsia="黑体"/>
          <w:sz w:val="32"/>
          <w:shd w:fill="FFFFFF" w:val="clear"/>
        </w:rPr>
        <w:t>一、</w:t>
      </w:r>
      <w:r>
        <w:rPr>
          <w:rFonts w:ascii="Times New Roman" w:hAnsi="Times New Roman" w:eastAsia="仿宋_GB2312;仿宋"/>
          <w:sz w:val="32"/>
          <w:shd w:fill="FFFFFF" w:val="clear"/>
        </w:rPr>
        <w:t>将第十条第二款中的</w:t>
      </w:r>
      <w:r>
        <w:rPr>
          <w:rFonts w:ascii="仿宋_GB2312;仿宋" w:hAnsi="仿宋_GB2312;仿宋" w:cs="仿宋_GB2312;仿宋" w:hint="eastAsia" w:eastAsia="仿宋_GB2312;仿宋"/>
          <w:sz w:val="32"/>
          <w:shd w:fill="FFFFFF" w:val="clear"/>
        </w:rPr>
        <w:t>“用于”</w:t>
      </w:r>
      <w:r>
        <w:rPr>
          <w:rFonts w:ascii="Times New Roman" w:hAnsi="Times New Roman" w:eastAsia="仿宋_GB2312;仿宋"/>
          <w:sz w:val="32"/>
          <w:shd w:fill="FFFFFF" w:val="clear"/>
        </w:rPr>
        <w:t>两字删去。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Times New Roman" w:hAnsi="Times New Roman" w:eastAsia="仿宋_GB2312;仿宋"/>
          <w:sz w:val="32"/>
          <w:shd w:fill="FFFFFF" w:val="clear"/>
        </w:rPr>
        <w:t>将第三款中的</w:t>
      </w:r>
      <w:r>
        <w:rPr>
          <w:rFonts w:ascii="仿宋_GB2312;仿宋" w:hAnsi="仿宋_GB2312;仿宋" w:cs="仿宋_GB2312;仿宋" w:hint="eastAsia" w:eastAsia="仿宋_GB2312;仿宋"/>
          <w:sz w:val="32"/>
          <w:shd w:fill="FFFFFF" w:val="clear"/>
        </w:rPr>
        <w:t>“橡胶坝”修改为“古黄河调度闸”</w:t>
      </w:r>
      <w:r>
        <w:rPr>
          <w:rFonts w:ascii="Times New Roman" w:hAnsi="Times New Roman" w:eastAsia="仿宋_GB2312;仿宋"/>
          <w:sz w:val="32"/>
          <w:shd w:fill="FFFFFF" w:val="clear"/>
        </w:rPr>
        <w:t>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黑体" w:hAnsi="黑体" w:cs="黑体" w:eastAsia="黑体"/>
          <w:sz w:val="32"/>
          <w:shd w:fill="FFFFFF" w:val="clear"/>
        </w:rPr>
        <w:t>二、</w:t>
      </w:r>
      <w:r>
        <w:rPr>
          <w:rFonts w:ascii="Times New Roman" w:hAnsi="Times New Roman" w:eastAsia="仿宋_GB2312;仿宋"/>
          <w:sz w:val="32"/>
          <w:shd w:fill="FFFFFF" w:val="clear"/>
        </w:rPr>
        <w:t>将第二十一条第一款第四项中的“捕捞水生动物”修改为“捕鱼”。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hd w:fill="FFFFFF" w:val="clear"/>
        </w:rPr>
      </w:pPr>
      <w:r>
        <w:rPr>
          <w:rFonts w:ascii="黑体" w:hAnsi="黑体" w:cs="黑体" w:eastAsia="黑体"/>
          <w:sz w:val="32"/>
          <w:shd w:fill="FFFFFF" w:val="clear"/>
        </w:rPr>
        <w:t>三、</w:t>
      </w:r>
      <w:r>
        <w:rPr>
          <w:rFonts w:ascii="Times New Roman" w:hAnsi="Times New Roman" w:eastAsia="仿宋_GB2312;仿宋"/>
          <w:sz w:val="32"/>
          <w:shd w:fill="FFFFFF" w:val="clear"/>
        </w:rPr>
        <w:t>将第三十二条第一款修改为：</w:t>
      </w:r>
      <w:r>
        <w:rPr>
          <w:rFonts w:ascii="仿宋_GB2312;仿宋" w:hAnsi="仿宋_GB2312;仿宋" w:cs="仿宋_GB2312;仿宋" w:hint="eastAsia" w:eastAsia="仿宋_GB2312;仿宋"/>
          <w:sz w:val="32"/>
          <w:shd w:fill="FFFFFF" w:val="clear"/>
        </w:rPr>
        <w:t>“违反本条例第十五条第一款规定，建筑施工作业和餐饮、洗浴、车辆维修清洗等产生的污水未经预处理，排入城镇污水管网的，由城镇排水主管部门责令停止违法行为，限期改正，可以处五万元以下罚款；造成严重后果的，吊销污水排入排水管网许可证，并处五万元以上五十万元以下罚款，可以向社会予以通报；造成损失的，依法承担赔偿责任。”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hd w:fill="FFFFFF" w:val="clear"/>
        </w:rPr>
      </w:pPr>
      <w:r>
        <w:rPr>
          <w:rFonts w:ascii="黑体" w:hAnsi="黑体" w:cs="黑体" w:eastAsia="黑体"/>
          <w:sz w:val="32"/>
          <w:shd w:fill="FFFFFF" w:val="clear"/>
        </w:rPr>
        <w:t>四、</w:t>
      </w:r>
      <w:r>
        <w:rPr>
          <w:rFonts w:ascii="Times New Roman" w:hAnsi="Times New Roman" w:eastAsia="仿宋_GB2312;仿宋"/>
          <w:sz w:val="32"/>
          <w:shd w:fill="FFFFFF" w:val="clear"/>
        </w:rPr>
        <w:t>将第三十四条第四项修改为：</w:t>
      </w:r>
      <w:r>
        <w:rPr>
          <w:rFonts w:ascii="仿宋_GB2312;仿宋" w:hAnsi="仿宋_GB2312;仿宋" w:cs="仿宋_GB2312;仿宋" w:hint="eastAsia" w:eastAsia="仿宋_GB2312;仿宋"/>
          <w:sz w:val="32"/>
          <w:shd w:fill="FFFFFF" w:val="clear"/>
        </w:rPr>
        <w:t>“采取爆炸、电击、施放毒物等非法方式捕鱼的，由农业农村主管部门没收渔获物和违法所得，处以五万元以下的罚款；情节严重的，没收渔具，吊销捕捞许可证；情节特别严重的，可以没收渔船；构成犯罪的，依法追究刑事责任”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仿宋_GB2312;仿宋" w:hAnsi="仿宋_GB2312;仿宋" w:eastAsia="仿宋_GB2312;仿宋" w:cs="仿宋_GB2312;仿宋" w:hint="eastAsia"/>
          <w:sz w:val="32"/>
          <w:shd w:fill="FFFFFF" w:val="clear"/>
        </w:rPr>
      </w:pPr>
      <w:r>
        <w:rPr>
          <w:rFonts w:ascii="黑体" w:hAnsi="黑体" w:cs="黑体" w:eastAsia="黑体"/>
          <w:sz w:val="32"/>
          <w:shd w:fill="FFFFFF" w:val="clear"/>
        </w:rPr>
        <w:t>五、</w:t>
      </w:r>
      <w:r>
        <w:rPr>
          <w:rFonts w:ascii="仿宋_GB2312;仿宋" w:hAnsi="仿宋_GB2312;仿宋" w:cs="仿宋_GB2312;仿宋" w:hint="eastAsia" w:eastAsia="仿宋_GB2312;仿宋"/>
          <w:sz w:val="32"/>
          <w:shd w:fill="FFFFFF" w:val="clear"/>
        </w:rPr>
        <w:t>将第六条、第二十一条第二款、第二十六条、第二十七条第一款、第二十九条、第三十条、第三十二条第二款、第三十四条第一项至第五项中涉及的“环境保护主管部门”修改为“生态环境主管部门”，“经济和信息化”修改为“工业和信息化”，“卫生”修改为“卫生健康”，“农业”修改为“农业农村”，“工商（市场监督）”修改为“市场监管”，“安全生产监督管理”修改为“应急管理”，“渔业行政主管部门”修改为“农业农村主管部门”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Times New Roman" w:hAnsi="Times New Roman" w:eastAsia="仿宋_GB2312;仿宋"/>
          <w:sz w:val="32"/>
          <w:shd w:fill="FFFFFF" w:val="clear"/>
        </w:rPr>
        <w:t>本决定自公布之日起施行。</w:t>
      </w:r>
    </w:p>
    <w:p>
      <w:pPr>
        <w:pStyle w:val="Style14"/>
        <w:widowControl w:val="false"/>
        <w:shd w:fill="FFFFFF" w:val="clear"/>
        <w:snapToGrid w:val="false"/>
        <w:spacing w:lineRule="exact" w:line="590" w:before="0" w:after="0"/>
        <w:ind w:firstLineChars="200" w:endChars="0" w:end="0"/>
        <w:jc w:val="both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ascii="Times New Roman" w:hAnsi="Times New Roman" w:eastAsia="仿宋_GB2312;仿宋"/>
          <w:sz w:val="32"/>
          <w:shd w:fill="FFFFFF" w:val="clear"/>
        </w:rPr>
        <w:t>《宿迁市古黄河马陵河西民便河水环境保护条例》根据本决定作相应修改，重新公布。</w:t>
      </w:r>
    </w:p>
    <w:p>
      <w:pPr>
        <w:pStyle w:val="Normal"/>
        <w:ind w:endChars="0" w:end="0"/>
        <w:rPr>
          <w:rFonts w:ascii="Times New Roman" w:hAnsi="Times New Roman" w:eastAsia="仿宋_GB2312;仿宋"/>
          <w:sz w:val="32"/>
          <w:shd w:fill="FFFFFF" w:val="clear"/>
        </w:rPr>
      </w:pPr>
      <w:r>
        <w:rPr>
          <w:rFonts w:eastAsia="仿宋_GB2312;仿宋" w:ascii="Times New Roman" w:hAnsi="Times New Roman"/>
          <w:sz w:val="32"/>
          <w:shd w:fill="FFFFFF" w:val="clear"/>
        </w:rPr>
      </w:r>
    </w:p>
    <w:p>
      <w:pPr>
        <w:pStyle w:val="Normal"/>
        <w:ind w:firstLineChars="0" w:firstLine="0" w:endChars="0" w:end="0"/>
        <w:rPr/>
      </w:pPr>
      <w:r>
        <w:rPr/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方正黑体简体">
    <w:altName w:val="微软雅黑"/>
    <w:charset w:val="86"/>
    <w:family w:val="script"/>
    <w:pitch w:val="default"/>
  </w:font>
  <w:font w:name="方正楷体_GBK">
    <w:charset w:val="86"/>
    <w:family w:val="auto"/>
    <w:pitch w:val="default"/>
  </w:font>
  <w:font w:name="方正楷体简体">
    <w:altName w:val="楷体_GB2312"/>
    <w:charset w:val="86"/>
    <w:family w:val="script"/>
    <w:pitch w:val="default"/>
  </w:font>
  <w:font w:name="方正小标宋_GBK">
    <w:altName w:val="微软雅黑"/>
    <w:charset w:val="86"/>
    <w:family w:val="auto"/>
    <w:pitch w:val="default"/>
  </w:font>
  <w:font w:name="Tahom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;仿宋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PageNumber">
    <w:name w:val="page number"/>
    <w:basedOn w:val="Style11"/>
    <w:rPr/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;仿宋" w:hAnsi="仿宋_GB2312;仿宋"/>
      <w:spacing w:val="-6"/>
    </w:rPr>
  </w:style>
  <w:style w:type="paragraph" w:styleId="Style12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Style13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;微软雅黑" w:cs="宋体"/>
      <w:color w:val="000000"/>
      <w:kern w:val="0"/>
      <w:sz w:val="24"/>
      <w:szCs w:val="32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" w:hAnsi="方正楷体_GBK" w:eastAsia="楷体_GB2312" w:cs="Book Antiqua"/>
    </w:rPr>
  </w:style>
  <w:style w:type="paragraph" w:styleId="5">
    <w:name w:val="标题5"/>
    <w:basedOn w:val="Normal"/>
    <w:next w:val="Normal"/>
    <w:qFormat/>
    <w:pPr/>
    <w:rPr>
      <w:rFonts w:ascii="方正楷体简体;楷体_GB2312" w:hAnsi="方正楷体简体;楷体_GB2312" w:eastAsia="方正楷体简体;楷体_GB2312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2022-12-27T14:10:00Z</dcterms:created>
  <dc:creator>admin</dc:creator>
  <dc:description/>
  <dc:language>en-US</dc:language>
  <cp:lastModifiedBy>jiawei</cp:lastModifiedBy>
  <cp:lastPrinted>2018-06-27T14:51:00Z</cp:lastPrinted>
  <dcterms:modified xsi:type="dcterms:W3CDTF">2023-01-11T18:20:31Z</dcterms:modified>
  <cp:revision>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C768D9BA6E694312859FA3F1DB473A46</vt:lpwstr>
  </property>
  <property fmtid="{D5CDD505-2E9C-101B-9397-08002B2CF9AE}" pid="3" name="KSOProductBuildVer">
    <vt:lpwstr>2052-11.1.0.13703</vt:lpwstr>
  </property>
</Properties>
</file>