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p0"/>
        <w:widowControl w:val="false"/>
        <w:overflowPunct w:val="true"/>
        <w:autoSpaceDE w:val="false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苏州市人民代表大会常务委员会</w:t>
      </w:r>
    </w:p>
    <w:p>
      <w:pPr>
        <w:pStyle w:val="p0"/>
        <w:widowControl w:val="false"/>
        <w:overflowPunct w:val="true"/>
        <w:autoSpaceDE w:val="false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关于修改《苏州市河道管理条例》等三件</w:t>
      </w:r>
    </w:p>
    <w:p>
      <w:pPr>
        <w:pStyle w:val="p0"/>
        <w:widowControl w:val="false"/>
        <w:overflowPunct w:val="true"/>
        <w:autoSpaceDE w:val="false"/>
        <w:ind w:firstLineChars="0" w:firstLine="0" w:endChars="0" w:end="0"/>
        <w:jc w:val="center"/>
        <w:rPr>
          <w:rFonts w:ascii="Times New Roman" w:hAnsi="Times New Roman" w:eastAsia="宋体" w:cs="Times New Roman" w:hint="eastAsia"/>
          <w:sz w:val="44"/>
          <w:szCs w:val="44"/>
        </w:rPr>
      </w:pPr>
      <w:r>
        <w:rPr>
          <w:rFonts w:ascii="Times New Roman" w:hAnsi="Times New Roman" w:cs="Times New Roman" w:hint="eastAsia" w:eastAsia="宋体"/>
          <w:sz w:val="44"/>
          <w:szCs w:val="44"/>
        </w:rPr>
        <w:t>地方性法规的决定</w:t>
      </w:r>
    </w:p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（</w:t>
      </w:r>
      <w:r>
        <w:rPr>
          <w:rFonts w:eastAsia="楷体_GB2312" w:cs="Times New Roman" w:hint="eastAsia" w:ascii="Times New Roman" w:hAnsi="Times New Roman"/>
          <w:szCs w:val="32"/>
        </w:rPr>
        <w:t>2022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6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27</w:t>
      </w:r>
      <w:r>
        <w:rPr>
          <w:rFonts w:ascii="Times New Roman" w:hAnsi="Times New Roman" w:cs="Times New Roman" w:hint="eastAsia" w:eastAsia="楷体_GB2312"/>
          <w:szCs w:val="32"/>
        </w:rPr>
        <w:t>日苏州市第十七届人民代表大会</w:t>
      </w:r>
    </w:p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 xml:space="preserve">常务委员会第二次会议通过  </w:t>
      </w:r>
      <w:r>
        <w:rPr>
          <w:rFonts w:eastAsia="楷体_GB2312" w:cs="Times New Roman" w:hint="eastAsia" w:ascii="Times New Roman" w:hAnsi="Times New Roman"/>
          <w:szCs w:val="32"/>
        </w:rPr>
        <w:t>2022</w:t>
      </w:r>
      <w:r>
        <w:rPr>
          <w:rFonts w:ascii="Times New Roman" w:hAnsi="Times New Roman" w:cs="Times New Roman" w:hint="eastAsia" w:eastAsia="楷体_GB2312"/>
          <w:szCs w:val="32"/>
        </w:rPr>
        <w:t>年</w:t>
      </w:r>
      <w:r>
        <w:rPr>
          <w:rFonts w:eastAsia="楷体_GB2312" w:cs="Times New Roman" w:hint="eastAsia" w:ascii="Times New Roman" w:hAnsi="Times New Roman"/>
          <w:szCs w:val="32"/>
        </w:rPr>
        <w:t>7</w:t>
      </w:r>
      <w:r>
        <w:rPr>
          <w:rFonts w:ascii="Times New Roman" w:hAnsi="Times New Roman" w:cs="Times New Roman" w:hint="eastAsia" w:eastAsia="楷体_GB2312"/>
          <w:szCs w:val="32"/>
        </w:rPr>
        <w:t>月</w:t>
      </w:r>
      <w:r>
        <w:rPr>
          <w:rFonts w:eastAsia="楷体_GB2312" w:cs="Times New Roman" w:hint="eastAsia" w:ascii="Times New Roman" w:hAnsi="Times New Roman"/>
          <w:szCs w:val="32"/>
        </w:rPr>
        <w:t>29</w:t>
      </w:r>
      <w:r>
        <w:rPr>
          <w:rFonts w:ascii="Times New Roman" w:hAnsi="Times New Roman" w:cs="Times New Roman" w:hint="eastAsia" w:eastAsia="楷体_GB2312"/>
          <w:szCs w:val="32"/>
        </w:rPr>
        <w:t>日江苏省</w:t>
      </w:r>
    </w:p>
    <w:p>
      <w:pPr>
        <w:pStyle w:val="Normal"/>
        <w:autoSpaceDE w:val="false"/>
        <w:ind w:firstLineChars="0" w:firstLine="0" w:endChars="0" w:end="0"/>
        <w:jc w:val="center"/>
        <w:rPr>
          <w:rFonts w:ascii="Times New Roman" w:hAnsi="Times New Roman" w:eastAsia="楷体_GB2312" w:cs="Times New Roman" w:hint="eastAsia"/>
          <w:szCs w:val="32"/>
        </w:rPr>
      </w:pPr>
      <w:r>
        <w:rPr>
          <w:rFonts w:ascii="Times New Roman" w:hAnsi="Times New Roman" w:cs="Times New Roman" w:hint="eastAsia" w:eastAsia="楷体_GB2312"/>
          <w:szCs w:val="32"/>
        </w:rPr>
        <w:t>第十三届人民代表大会常务委员会第三十一次会议批准）</w:t>
      </w:r>
    </w:p>
    <w:p>
      <w:pPr>
        <w:pStyle w:val="Normal"/>
        <w:ind w:endChars="0" w:end="0"/>
        <w:rPr>
          <w:rFonts w:ascii="Times New Roman" w:hAnsi="Times New Roman" w:eastAsia="楷体_GB2312" w:cs="Times New Roman" w:hint="eastAsia"/>
          <w:szCs w:val="32"/>
        </w:rPr>
      </w:pPr>
      <w:r>
        <w:rPr>
          <w:rFonts w:eastAsia="楷体_GB2312" w:cs="Times New Roman" w:hint="eastAsia" w:ascii="Times New Roman" w:hAnsi="Times New Roman"/>
          <w:szCs w:val="32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苏州市第十七届人民代表大会常务委员会第二次会议决定：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  <w:bCs/>
          <w:kern w:val="0"/>
          <w:szCs w:val="32"/>
        </w:rPr>
        <w:t>一、对《苏州市河道管理条例》作出修改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将第三十六条修改为：“市、县级市（区）人民政府可以根据保障行洪安全、保护河道生态、保持河道文化景观的实际需要，制定和定期调整禁止垂钓、游泳的河道名录，并向社会公布。水行政主管部门应当在河道管理范围内设立相应警示标志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  <w:t>“</w:t>
      </w:r>
      <w:r>
        <w:rPr>
          <w:rFonts w:ascii="Times New Roman" w:hAnsi="Times New Roman" w:cs="Times New Roman" w:hint="eastAsia"/>
        </w:rPr>
        <w:t>禁止在前款名录公布的河道内垂钓或者游泳。”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（二）将第三十七条第二项修改为：“（二）养殖、投放福寿螺、牛蛙、鳄龟、巴西龟等外来物种或者其他非本地物种种质资源”。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（三）第四十条增加一款，作为第二款：“《江苏省河道管理条例》《江苏省渔业管理条例》对违法垂钓的处罚另有规定的，从其规定。”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（四）将第四十一条第一款修改为：“违反本条例第三十七条第一项规定的，由水行政主管部门责令停止违法行为，没收违法所得，限期拆除；逾期不拆除的，强行拆除，可以处以二百元以上一千元以下罚款。”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将第四十一条第二款修改为：“违反本条例第三十七条第二项规定的，由农业农村部门依照《中华人民共和国长江保护法》《中华人民共和国生物安全法》有关规定处理。”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  <w:bCs/>
          <w:kern w:val="0"/>
          <w:szCs w:val="32"/>
        </w:rPr>
        <w:t>二、对《苏州市道路交通安全条例》作出修改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删去第十四条第二款。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  <w:bCs/>
          <w:kern w:val="0"/>
          <w:szCs w:val="32"/>
        </w:rPr>
        <w:t>三、对《苏州市生活垃圾分类管理条例》作出修改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（一）将第十二条第三款修改为：“生活垃圾分类管理专项规划确定的中转设施、处置设施的用地位置、用地规模和建设规模，应当纳入国土空间规划。”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（二）将第十六条第一款修改为：“市环境卫生主管部门应当根据国家、省和本条例有关规定，制定、调整、公布生活垃圾分类指南。”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将第五十一条第一款修改为：“违反本条例第二十一条第一款规定，未在指定的地点分类投放生活垃圾的，由环境卫生主管部门批评教育、责令改正；情节严重的，对单位处以五万元以上五十万元以下罚款、对个人处以五十元以上二百元以下罚款。”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本决定自</w:t>
      </w:r>
      <w:r>
        <w:rPr>
          <w:rFonts w:cs="Times New Roman" w:hint="eastAsia" w:ascii="Times New Roman" w:hAnsi="Times New Roman"/>
        </w:rPr>
        <w:t>2022</w:t>
      </w:r>
      <w:r>
        <w:rPr>
          <w:rFonts w:ascii="Times New Roman" w:hAnsi="Times New Roman" w:cs="Times New Roman" w:hint="eastAsia"/>
        </w:rPr>
        <w:t>年</w:t>
      </w:r>
      <w:r>
        <w:rPr>
          <w:rFonts w:cs="Times New Roman" w:hint="eastAsia" w:ascii="Times New Roman" w:hAnsi="Times New Roman"/>
        </w:rPr>
        <w:t>10</w:t>
      </w:r>
      <w:r>
        <w:rPr>
          <w:rFonts w:ascii="Times New Roman" w:hAnsi="Times New Roman" w:cs="Times New Roman" w:hint="eastAsia"/>
        </w:rPr>
        <w:t>月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日起施行。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《苏州市河道管理条例》《苏州市道路交通安全条例》《苏州市生活垃圾分类管理条例》根据本决定作相应修改，重新公布。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仿宋_GB2312" w:cs="Times New Roman" w:hint="eastAsia"/>
          <w:b w:val="false"/>
          <w:color w:val="000000"/>
          <w:sz w:val="32"/>
          <w:szCs w:val="20"/>
        </w:rPr>
      </w:pPr>
      <w:r>
        <w:rPr>
          <w:rFonts w:eastAsia="仿宋_GB2312" w:cs="Times New Roman" w:hint="eastAsia" w:ascii="Times New Roman" w:hAnsi="Times New Roman"/>
          <w:b w:val="false"/>
          <w:color w:val="000000"/>
          <w:sz w:val="32"/>
          <w:szCs w:val="20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ˎ̥">
    <w:altName w:val="Times New Roman"/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等线">
    <w:altName w:val="楷体_GB2312"/>
    <w:charset w:val="00" w:characterSet="windows-1252"/>
    <w:family w:val="auto"/>
    <w:pitch w:val="default"/>
  </w:font>
  <w:font w:name="仿宋_GB2312">
    <w:charset w:val="86"/>
    <w:family w:val="modern"/>
    <w:pitch w:val="default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方正黑体简体">
    <w:charset w:val="86"/>
    <w:family w:val="script"/>
    <w:pitch w:val="default"/>
  </w:font>
  <w:font w:name="方正楷体简体">
    <w:charset w:val="86"/>
    <w:family w:val="script"/>
    <w:pitch w:val="default"/>
  </w:font>
  <w:font w:name="方正仿宋_GBK">
    <w:altName w:val="微软雅黑"/>
    <w:charset w:val="86"/>
    <w:family w:val="script"/>
    <w:pitch w:val="default"/>
  </w:font>
  <w:font w:name="Tahoma">
    <w:charset w:val="00" w:characterSet="windows-1252"/>
    <w:family w:val="swiss"/>
    <w:pitch w:val="default"/>
  </w:font>
  <w:font w:name="方正楷体_GBK">
    <w:altName w:val="微软雅黑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20pt;mso-wrap-distance-left:0pt;mso-wrap-distance-right:0pt;mso-wrap-distance-top:0pt;mso-wrap-distance-bottom:0pt;margin-top:0.05pt;mso-position-vertical-relative:text;margin-left:393.1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3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Strong">
    <w:name w:val="Strong"/>
    <w:basedOn w:val="Style11"/>
    <w:qFormat/>
    <w:rPr>
      <w:b/>
      <w:bCs/>
    </w:rPr>
  </w:style>
  <w:style w:type="character" w:styleId="Hyperlink">
    <w:name w:val="Hyperlink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3Char">
    <w:name w:val="标题3 Char"/>
    <w:qFormat/>
    <w:rPr>
      <w:rFonts w:ascii="Times New Roman" w:hAnsi="Times New Roman" w:eastAsia="方正黑体_GBK;微软雅黑" w:cs="Times New Roman"/>
      <w:kern w:val="0"/>
      <w:sz w:val="32"/>
      <w:szCs w:val="20"/>
    </w:rPr>
  </w:style>
  <w:style w:type="character" w:styleId="NormalCharacter">
    <w:name w:val="NormalCharacter"/>
    <w:qFormat/>
    <w:rPr/>
  </w:style>
  <w:style w:type="character" w:styleId="Heading1Char">
    <w:name w:val="Heading 1 Char"/>
    <w:qFormat/>
    <w:rPr>
      <w:rFonts w:ascii="Times;Times New Roman" w:hAnsi="Times;Times New Roman" w:eastAsia="仿宋_GB2312" w:cs="Times;Times New Roman"/>
      <w:b/>
      <w:bCs/>
      <w:kern w:val="2"/>
      <w:sz w:val="44"/>
      <w:szCs w:val="44"/>
      <w:lang w:bidi="ar-SA"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2">
    <w:name w:val="正文缩进"/>
    <w:basedOn w:val="Normal"/>
    <w:next w:val="Normal"/>
    <w:qFormat/>
    <w:pPr>
      <w:snapToGrid w:val="true"/>
      <w:ind w:firstLineChars="200" w:startChars="0" w:start="0" w:endChars="0" w:end="0"/>
      <w:jc w:val="start"/>
    </w:pPr>
    <w:rPr>
      <w:spacing w:val="-25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TOC3">
    <w:name w:val="toc 3"/>
    <w:basedOn w:val="Normal"/>
    <w:next w:val="Normal"/>
    <w:pPr>
      <w:ind w:firstLineChars="200" w:startChars="0" w:start="0" w:endChars="0" w:end="0"/>
    </w:pPr>
    <w:rPr>
      <w:rFonts w:ascii="等线;楷体_GB2312" w:hAnsi="等线;楷体_GB2312" w:eastAsia="等线;楷体_GB2312" w:cs="等线;楷体_GB2312"/>
      <w:b/>
      <w:sz w:val="30"/>
      <w:szCs w:val="30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Style14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HTML">
    <w:name w:val="HTML 预设格式"/>
    <w:basedOn w:val="Normal"/>
    <w:qFormat/>
    <w:pPr>
      <w:widowControl/>
      <w:tabs>
        <w:tab w:val="clear" w:pos="425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cs="宋体"/>
      <w:kern w:val="0"/>
      <w:sz w:val="24"/>
    </w:rPr>
  </w:style>
  <w:style w:type="paragraph" w:styleId="Style15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6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 w:hint="eastAsia"/>
      <w:color w:val="000000"/>
      <w:sz w:val="24"/>
      <w:szCs w:val="22"/>
      <w:lang w:bidi="ar-SA" w:val="en-US" w:eastAsia="zh-CN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Style17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BodyText1">
    <w:name w:val="BodyText"/>
    <w:basedOn w:val="Normal"/>
    <w:qFormat/>
    <w:pPr>
      <w:widowControl/>
      <w:spacing w:before="100" w:after="100"/>
      <w:jc w:val="start"/>
      <w:textAlignment w:val="baseline"/>
    </w:pPr>
    <w:rPr>
      <w:rFonts w:ascii="宋体" w:hAnsi="宋体" w:eastAsia="宋体" w:cs="宋体"/>
      <w:sz w:val="24"/>
    </w:rPr>
  </w:style>
  <w:style w:type="paragraph" w:styleId="bt2">
    <w:name w:val="bt2"/>
    <w:basedOn w:val="Normal"/>
    <w:qFormat/>
    <w:pPr>
      <w:spacing w:lineRule="exact" w:line="368"/>
      <w:jc w:val="center"/>
    </w:pPr>
    <w:rPr>
      <w:rFonts w:ascii="黑体" w:hAnsi="黑体" w:eastAsia="黑体"/>
      <w:sz w:val="24"/>
    </w:rPr>
  </w:style>
  <w:style w:type="paragraph" w:styleId="msolistparagraph">
    <w:name w:val="msolistparagraph"/>
    <w:basedOn w:val="Normal"/>
    <w:qFormat/>
    <w:pPr/>
    <w:rPr>
      <w:rFonts w:ascii="Calibri" w:hAnsi="Calibri" w:eastAsia="宋体" w:cs="Calibri"/>
      <w:sz w:val="21"/>
      <w:szCs w:val="2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2022-08-17T16:53:00Z</dcterms:created>
  <dc:creator>admin</dc:creator>
  <dc:description/>
  <dc:language>en-US</dc:language>
  <cp:lastModifiedBy>何正喜</cp:lastModifiedBy>
  <cp:lastPrinted>2022-06-13T15:57:00Z</cp:lastPrinted>
  <dcterms:modified xsi:type="dcterms:W3CDTF">2022-08-30T10:48:32Z</dcterms:modified>
  <cp:revision>26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