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endChars="0" w:end="0"/>
        <w:rPr>
          <w:rFonts w:ascii="Times New Roman" w:hAnsi="Times New Roman" w:eastAsia="黑体" w:cs="Times New Roman" w:hint="eastAsia"/>
          <w:sz w:val="28"/>
          <w:szCs w:val="28"/>
        </w:rPr>
      </w:pPr>
      <w:r>
        <w:rPr>
          <w:rFonts w:eastAsia="黑体" w:cs="Times New Roman" w:hint="eastAsia" w:ascii="Times New Roman" w:hAnsi="Times New Roman"/>
          <w:sz w:val="28"/>
          <w:szCs w:val="28"/>
        </w:rPr>
      </w:r>
    </w:p>
    <w:p>
      <w:pPr>
        <w:pStyle w:val="Normal"/>
        <w:ind w:firstLineChars="0" w:firstLine="0" w:endChars="0" w:end="0"/>
        <w:jc w:val="center"/>
        <w:rPr>
          <w:rFonts w:ascii="宋体" w:hAnsi="宋体" w:eastAsia="宋体" w:cs="宋体"/>
          <w:sz w:val="44"/>
          <w:szCs w:val="44"/>
        </w:rPr>
      </w:pPr>
      <w:r>
        <w:rPr>
          <w:rFonts w:ascii="宋体" w:hAnsi="宋体" w:cs="宋体" w:hint="eastAsia" w:eastAsia="宋体"/>
          <w:sz w:val="44"/>
          <w:szCs w:val="44"/>
        </w:rPr>
        <w:t>苏州市优化营商环境条例</w:t>
      </w:r>
    </w:p>
    <w:p>
      <w:pPr>
        <w:pStyle w:val="Normal"/>
        <w:ind w:endChars="0" w:end="0"/>
        <w:jc w:val="center"/>
        <w:rPr>
          <w:rFonts w:ascii="宋体" w:hAnsi="宋体" w:eastAsia="楷体_GB2312" w:cs="宋体" w:hint="eastAsia"/>
          <w:sz w:val="44"/>
          <w:szCs w:val="44"/>
        </w:rPr>
      </w:pPr>
      <w:r>
        <w:rPr>
          <w:rFonts w:eastAsia="楷体_GB2312" w:cs="宋体" w:hint="eastAsia" w:ascii="宋体" w:hAnsi="宋体"/>
          <w:sz w:val="44"/>
          <w:szCs w:val="44"/>
        </w:rPr>
      </w:r>
    </w:p>
    <w:p>
      <w:pPr>
        <w:pStyle w:val="Normal"/>
        <w:ind w:firstLineChars="0" w:firstLine="0" w:startChars="200" w:endChars="200"/>
        <w:rPr>
          <w:rFonts w:eastAsia="楷体_GB2312" w:hint="eastAsia"/>
        </w:rPr>
      </w:pPr>
      <w:r>
        <w:rPr>
          <w:rFonts w:hint="eastAsia" w:eastAsia="楷体_GB2312"/>
        </w:rPr>
        <w:t>（</w:t>
      </w:r>
      <w:r>
        <w:rPr>
          <w:rFonts w:eastAsia="楷体_GB2312"/>
        </w:rPr>
        <w:t>2021</w:t>
      </w:r>
      <w:r>
        <w:rPr>
          <w:rFonts w:hint="eastAsia" w:eastAsia="楷体_GB2312"/>
        </w:rPr>
        <w:t>年</w:t>
      </w:r>
      <w:r>
        <w:rPr>
          <w:rFonts w:eastAsia="楷体_GB2312"/>
        </w:rPr>
        <w:t>10</w:t>
      </w:r>
      <w:r>
        <w:rPr>
          <w:rFonts w:hint="eastAsia" w:eastAsia="楷体_GB2312"/>
        </w:rPr>
        <w:t>月</w:t>
      </w:r>
      <w:r>
        <w:rPr>
          <w:rFonts w:eastAsia="楷体_GB2312"/>
        </w:rPr>
        <w:t>25</w:t>
      </w:r>
      <w:r>
        <w:rPr>
          <w:rFonts w:hint="eastAsia" w:eastAsia="楷体_GB2312"/>
        </w:rPr>
        <w:t>日苏州市第十六届人民代表大会常务委员会第三十八次会议通过</w:t>
      </w:r>
      <w:r>
        <w:rPr>
          <w:rFonts w:eastAsia="楷体_GB2312"/>
        </w:rPr>
        <w:t xml:space="preserve">  </w:t>
      </w:r>
      <w:r>
        <w:rPr>
          <w:rFonts w:eastAsia="楷体_GB2312"/>
        </w:rPr>
        <w:t>2021</w:t>
      </w:r>
      <w:r>
        <w:rPr>
          <w:rFonts w:hint="eastAsia" w:eastAsia="楷体_GB2312"/>
        </w:rPr>
        <w:t>年</w:t>
      </w:r>
      <w:r>
        <w:rPr>
          <w:rFonts w:eastAsia="楷体_GB2312"/>
        </w:rPr>
        <w:t>12</w:t>
      </w:r>
      <w:r>
        <w:rPr>
          <w:rFonts w:hint="eastAsia" w:eastAsia="楷体_GB2312"/>
        </w:rPr>
        <w:t>月</w:t>
      </w:r>
      <w:r>
        <w:rPr>
          <w:rFonts w:eastAsia="楷体_GB2312"/>
        </w:rPr>
        <w:t>2</w:t>
      </w:r>
      <w:r>
        <w:rPr>
          <w:rFonts w:hint="eastAsia" w:eastAsia="楷体_GB2312"/>
        </w:rPr>
        <w:t>日江苏省第十三届人民代表大会常务委员</w:t>
      </w:r>
      <w:bookmarkStart w:id="0" w:name="_GoBack"/>
      <w:bookmarkEnd w:id="0"/>
      <w:r>
        <w:rPr>
          <w:rFonts w:hint="eastAsia" w:eastAsia="楷体_GB2312"/>
        </w:rPr>
        <w:t>会第二十七次会议批准）</w:t>
      </w:r>
    </w:p>
    <w:p>
      <w:pPr>
        <w:pStyle w:val="Normal"/>
        <w:ind w:firstLineChars="0" w:firstLine="0" w:endChars="200"/>
        <w:rPr>
          <w:rFonts w:eastAsia="楷体_GB2312" w:hint="eastAsia"/>
        </w:rPr>
      </w:pPr>
      <w:r>
        <w:rPr>
          <w:rFonts w:eastAsia="楷体_GB2312" w:hint="eastAsia"/>
        </w:rPr>
      </w:r>
    </w:p>
    <w:p>
      <w:pPr>
        <w:pStyle w:val="Normal"/>
        <w:ind w:firstLineChars="0" w:firstLine="0" w:endChars="0" w:end="0"/>
        <w:jc w:val="center"/>
        <w:rPr>
          <w:rFonts w:eastAsia="楷体_GB2312"/>
        </w:rPr>
      </w:pPr>
      <w:r>
        <w:rPr>
          <w:rFonts w:hint="eastAsia" w:eastAsia="楷体_GB2312"/>
        </w:rPr>
        <w:t>目</w:t>
      </w:r>
      <w:r>
        <w:rPr>
          <w:rFonts w:eastAsia="楷体_GB2312"/>
        </w:rPr>
        <w:t xml:space="preserve">  </w:t>
      </w:r>
      <w:r>
        <w:rPr>
          <w:rFonts w:hint="eastAsia" w:eastAsia="楷体_GB2312"/>
        </w:rPr>
        <w:t>录</w:t>
      </w:r>
    </w:p>
    <w:p>
      <w:pPr>
        <w:pStyle w:val="Normal"/>
        <w:ind w:endChars="0" w:end="0"/>
        <w:rPr>
          <w:rFonts w:eastAsia="楷体_GB2312"/>
        </w:rPr>
      </w:pPr>
      <w:r>
        <w:rPr>
          <w:rFonts w:hint="eastAsia" w:eastAsia="楷体_GB2312"/>
        </w:rPr>
        <w:t>第一章</w:t>
      </w:r>
      <w:r>
        <w:rPr>
          <w:rFonts w:eastAsia="楷体_GB2312"/>
        </w:rPr>
        <w:t xml:space="preserve">  </w:t>
      </w:r>
      <w:r>
        <w:rPr>
          <w:rFonts w:hint="eastAsia" w:eastAsia="楷体_GB2312"/>
        </w:rPr>
        <w:t>总则</w:t>
      </w:r>
    </w:p>
    <w:p>
      <w:pPr>
        <w:pStyle w:val="Normal"/>
        <w:ind w:endChars="0" w:end="0"/>
        <w:rPr>
          <w:rFonts w:eastAsia="楷体_GB2312"/>
        </w:rPr>
      </w:pPr>
      <w:r>
        <w:rPr>
          <w:rFonts w:hint="eastAsia" w:eastAsia="楷体_GB2312"/>
        </w:rPr>
        <w:t>第二章</w:t>
      </w:r>
      <w:r>
        <w:rPr>
          <w:rFonts w:eastAsia="楷体_GB2312"/>
        </w:rPr>
        <w:t xml:space="preserve">  </w:t>
      </w:r>
      <w:r>
        <w:rPr>
          <w:rFonts w:hint="eastAsia" w:eastAsia="楷体_GB2312"/>
        </w:rPr>
        <w:t>市场环境</w:t>
      </w:r>
    </w:p>
    <w:p>
      <w:pPr>
        <w:pStyle w:val="Normal"/>
        <w:ind w:endChars="0" w:end="0"/>
        <w:rPr>
          <w:rFonts w:eastAsia="楷体_GB2312"/>
        </w:rPr>
      </w:pPr>
      <w:r>
        <w:rPr>
          <w:rFonts w:hint="eastAsia" w:eastAsia="楷体_GB2312"/>
        </w:rPr>
        <w:t>第三章</w:t>
      </w:r>
      <w:r>
        <w:rPr>
          <w:rFonts w:eastAsia="楷体_GB2312"/>
        </w:rPr>
        <w:t xml:space="preserve">  </w:t>
      </w:r>
      <w:r>
        <w:rPr>
          <w:rFonts w:hint="eastAsia" w:eastAsia="楷体_GB2312"/>
        </w:rPr>
        <w:t>政务环境</w:t>
      </w:r>
    </w:p>
    <w:p>
      <w:pPr>
        <w:pStyle w:val="Normal"/>
        <w:ind w:endChars="0" w:end="0"/>
        <w:rPr>
          <w:rFonts w:eastAsia="楷体_GB2312"/>
        </w:rPr>
      </w:pPr>
      <w:r>
        <w:rPr>
          <w:rFonts w:hint="eastAsia" w:eastAsia="楷体_GB2312"/>
        </w:rPr>
        <w:t>第四章</w:t>
      </w:r>
      <w:r>
        <w:rPr>
          <w:rFonts w:eastAsia="楷体_GB2312"/>
        </w:rPr>
        <w:t xml:space="preserve">  </w:t>
      </w:r>
      <w:r>
        <w:rPr>
          <w:rFonts w:hint="eastAsia" w:eastAsia="楷体_GB2312"/>
        </w:rPr>
        <w:t>人文环境</w:t>
      </w:r>
    </w:p>
    <w:p>
      <w:pPr>
        <w:pStyle w:val="Normal"/>
        <w:ind w:endChars="0" w:end="0"/>
        <w:rPr>
          <w:rFonts w:eastAsia="楷体_GB2312"/>
        </w:rPr>
      </w:pPr>
      <w:r>
        <w:rPr>
          <w:rFonts w:hint="eastAsia" w:eastAsia="楷体_GB2312"/>
        </w:rPr>
        <w:t>第五章</w:t>
      </w:r>
      <w:r>
        <w:rPr>
          <w:rFonts w:eastAsia="楷体_GB2312"/>
        </w:rPr>
        <w:t xml:space="preserve">  </w:t>
      </w:r>
      <w:r>
        <w:rPr>
          <w:rFonts w:hint="eastAsia" w:eastAsia="楷体_GB2312"/>
        </w:rPr>
        <w:t>法治环境</w:t>
      </w:r>
    </w:p>
    <w:p>
      <w:pPr>
        <w:pStyle w:val="Normal"/>
        <w:ind w:endChars="0" w:end="0"/>
        <w:rPr>
          <w:rFonts w:eastAsia="楷体_GB2312"/>
        </w:rPr>
      </w:pPr>
      <w:r>
        <w:rPr>
          <w:rFonts w:hint="eastAsia" w:eastAsia="楷体_GB2312"/>
        </w:rPr>
        <w:t>第六章</w:t>
      </w:r>
      <w:r>
        <w:rPr>
          <w:rFonts w:eastAsia="楷体_GB2312"/>
        </w:rPr>
        <w:t xml:space="preserve">  </w:t>
      </w:r>
      <w:r>
        <w:rPr>
          <w:rFonts w:hint="eastAsia" w:eastAsia="楷体_GB2312"/>
        </w:rPr>
        <w:t>附则</w:t>
      </w:r>
    </w:p>
    <w:p>
      <w:pPr>
        <w:pStyle w:val="Normal"/>
        <w:ind w:endChars="0" w:end="0"/>
        <w:jc w:val="center"/>
        <w:rPr>
          <w:rFonts w:eastAsia="黑体" w:cs="黑体"/>
          <w:spacing w:val="0"/>
        </w:rPr>
      </w:pPr>
      <w:r>
        <w:rPr>
          <w:rFonts w:eastAsia="黑体" w:cs="黑体"/>
          <w:spacing w:val="0"/>
        </w:rPr>
      </w:r>
    </w:p>
    <w:p>
      <w:pPr>
        <w:pStyle w:val="Normal"/>
        <w:ind w:firstLineChars="0" w:firstLine="0" w:endChars="0" w:end="0"/>
        <w:jc w:val="center"/>
        <w:rPr>
          <w:rFonts w:eastAsia="黑体"/>
          <w:spacing w:val="0"/>
        </w:rPr>
      </w:pPr>
      <w:r>
        <w:rPr>
          <w:rFonts w:cs="黑体" w:hint="eastAsia" w:eastAsia="黑体"/>
          <w:spacing w:val="0"/>
        </w:rPr>
        <w:t>第一章</w:t>
      </w:r>
      <w:r>
        <w:rPr>
          <w:rFonts w:eastAsia="黑体"/>
          <w:spacing w:val="0"/>
        </w:rPr>
        <w:t xml:space="preserve">  </w:t>
      </w:r>
      <w:r>
        <w:rPr>
          <w:rFonts w:cs="黑体" w:hint="eastAsia" w:eastAsia="黑体"/>
          <w:spacing w:val="0"/>
        </w:rPr>
        <w:t>总则</w:t>
      </w:r>
    </w:p>
    <w:p>
      <w:pPr>
        <w:pStyle w:val="Normal"/>
        <w:ind w:endChars="0" w:end="0"/>
        <w:rPr>
          <w:rFonts w:eastAsia="黑体" w:cs="黑体" w:hint="eastAsia"/>
          <w:spacing w:val="0"/>
        </w:rPr>
      </w:pPr>
      <w:r>
        <w:rPr>
          <w:rFonts w:eastAsia="黑体" w:cs="黑体" w:hint="eastAsia"/>
          <w:spacing w:val="0"/>
        </w:rPr>
      </w:r>
    </w:p>
    <w:p>
      <w:pPr>
        <w:pStyle w:val="Normal"/>
        <w:ind w:endChars="0" w:end="0"/>
        <w:rPr>
          <w:spacing w:val="0"/>
        </w:rPr>
      </w:pPr>
      <w:r>
        <w:rPr>
          <w:rFonts w:cs="黑体" w:hint="eastAsia" w:eastAsia="黑体"/>
          <w:spacing w:val="0"/>
        </w:rPr>
        <w:t>第一条</w:t>
      </w:r>
      <w:r>
        <w:rPr>
          <w:spacing w:val="0"/>
        </w:rPr>
        <w:t xml:space="preserve">  </w:t>
      </w:r>
      <w:r>
        <w:rPr>
          <w:rFonts w:hint="eastAsia"/>
          <w:spacing w:val="0"/>
        </w:rPr>
        <w:t>为了打造国际一流营商环境，维护市场主体合法权益，激发市场</w:t>
      </w:r>
      <w:r>
        <w:rPr>
          <w:rFonts w:hint="eastAsia"/>
          <w:spacing w:val="0"/>
          <w:shd w:fill="FFFFFF" w:val="clear"/>
        </w:rPr>
        <w:t>主体</w:t>
      </w:r>
      <w:r>
        <w:rPr>
          <w:rFonts w:hint="eastAsia"/>
          <w:spacing w:val="0"/>
        </w:rPr>
        <w:t>活力，推进治理体系和治理能力现代化，推动高质量发展，根据国务院《优化营商环境条例》《江苏省优化营商环境条例》等法律、法规，结合本市实际，制定本条例。</w:t>
      </w:r>
    </w:p>
    <w:p>
      <w:pPr>
        <w:pStyle w:val="Normal"/>
        <w:ind w:endChars="0" w:end="0"/>
        <w:rPr>
          <w:spacing w:val="0"/>
        </w:rPr>
      </w:pPr>
      <w:r>
        <w:rPr>
          <w:rFonts w:cs="黑体" w:hint="eastAsia" w:eastAsia="黑体"/>
          <w:spacing w:val="0"/>
        </w:rPr>
        <w:t>第二条</w:t>
      </w:r>
      <w:r>
        <w:rPr>
          <w:rFonts w:eastAsia="黑体"/>
          <w:spacing w:val="0"/>
        </w:rPr>
        <w:t xml:space="preserve">  </w:t>
      </w:r>
      <w:r>
        <w:rPr>
          <w:rFonts w:hint="eastAsia"/>
          <w:spacing w:val="0"/>
        </w:rPr>
        <w:t>本市行政区域内优化营商环境工作，适用本条例。</w:t>
      </w:r>
    </w:p>
    <w:p>
      <w:pPr>
        <w:pStyle w:val="Normal"/>
        <w:ind w:endChars="0" w:end="0"/>
        <w:rPr>
          <w:spacing w:val="0"/>
        </w:rPr>
      </w:pPr>
      <w:r>
        <w:rPr>
          <w:rFonts w:cs="黑体" w:hint="eastAsia" w:eastAsia="黑体"/>
          <w:spacing w:val="0"/>
        </w:rPr>
        <w:t>第三条</w:t>
      </w:r>
      <w:r>
        <w:rPr>
          <w:spacing w:val="0"/>
        </w:rPr>
        <w:t xml:space="preserve">  </w:t>
      </w:r>
      <w:r>
        <w:rPr>
          <w:rFonts w:hint="eastAsia"/>
          <w:spacing w:val="0"/>
        </w:rPr>
        <w:t>优化营商环境应当</w:t>
      </w:r>
      <w:r>
        <w:rPr>
          <w:rFonts w:hint="eastAsia"/>
          <w:spacing w:val="0"/>
          <w:shd w:fill="FFFFFF" w:val="clear"/>
        </w:rPr>
        <w:t>坚持市场化、法治化、国际化原则，</w:t>
      </w:r>
      <w:r>
        <w:rPr>
          <w:rFonts w:hint="eastAsia"/>
          <w:spacing w:val="0"/>
        </w:rPr>
        <w:t>对标国际高标准市场规则体系，</w:t>
      </w:r>
      <w:r>
        <w:rPr>
          <w:rFonts w:hint="eastAsia"/>
          <w:spacing w:val="0"/>
          <w:shd w:fill="FFFFFF" w:val="clear"/>
        </w:rPr>
        <w:t>以市场主体需求为导向，</w:t>
      </w:r>
      <w:r>
        <w:rPr>
          <w:rFonts w:hint="eastAsia"/>
          <w:spacing w:val="0"/>
        </w:rPr>
        <w:t>以市场主体获得感为评价标准，以政府职能转变为核心，以创新体制机制为支撑，为各类市场主体投资兴业营造公平竞争的市场环境、高效便利的政务环境、开放包容的人文环境、公正透明的法治环境。</w:t>
      </w:r>
    </w:p>
    <w:p>
      <w:pPr>
        <w:pStyle w:val="Normal"/>
        <w:ind w:endChars="0" w:end="0"/>
        <w:rPr>
          <w:spacing w:val="0"/>
        </w:rPr>
      </w:pPr>
      <w:r>
        <w:rPr>
          <w:rFonts w:cs="黑体" w:hint="eastAsia" w:eastAsia="黑体"/>
          <w:spacing w:val="0"/>
        </w:rPr>
        <w:t>第四条</w:t>
      </w:r>
      <w:r>
        <w:rPr>
          <w:rFonts w:eastAsia="黑体"/>
          <w:spacing w:val="0"/>
        </w:rPr>
        <w:t xml:space="preserve"> </w:t>
      </w:r>
      <w:r>
        <w:rPr>
          <w:spacing w:val="0"/>
        </w:rPr>
        <w:t xml:space="preserve"> </w:t>
      </w:r>
      <w:r>
        <w:rPr>
          <w:rFonts w:hint="eastAsia"/>
          <w:spacing w:val="0"/>
        </w:rPr>
        <w:t>本市各级人民政府应当加强对优化营商环境工作的组织领导，持续完善优化营商环境政策措施，建立健全工作协调机制，建立政企互动沟通机制，及时协调、解决优化营商环境工作中的重大问题，增强行政行为的公开透明度和可预期性。各级人民政府主要负责人是优化营商环境工作的第一责任人。</w:t>
      </w:r>
    </w:p>
    <w:p>
      <w:pPr>
        <w:pStyle w:val="Normal"/>
        <w:ind w:endChars="0" w:end="0"/>
        <w:rPr>
          <w:spacing w:val="0"/>
        </w:rPr>
      </w:pPr>
      <w:r>
        <w:rPr>
          <w:rFonts w:hint="eastAsia"/>
          <w:spacing w:val="0"/>
        </w:rPr>
        <w:t>发展和改革部门是优化营商环境工作主管部门，负责组织、指导、协调优化营商环境日常工作。其他有关部门应当按照各自职责，共同做好优化营商环境工作。</w:t>
      </w:r>
    </w:p>
    <w:p>
      <w:pPr>
        <w:pStyle w:val="Normal"/>
        <w:ind w:endChars="0" w:end="0"/>
        <w:rPr>
          <w:spacing w:val="0"/>
          <w:shd w:fill="FFFFFF" w:val="clear"/>
        </w:rPr>
      </w:pPr>
      <w:r>
        <w:rPr>
          <w:rFonts w:cs="黑体" w:hint="eastAsia" w:eastAsia="黑体"/>
          <w:spacing w:val="0"/>
        </w:rPr>
        <w:t>第五条</w:t>
      </w:r>
      <w:r>
        <w:rPr>
          <w:rFonts w:eastAsia="黑体"/>
          <w:spacing w:val="0"/>
        </w:rPr>
        <w:t xml:space="preserve">  </w:t>
      </w:r>
      <w:r>
        <w:rPr>
          <w:rFonts w:hint="eastAsia"/>
          <w:spacing w:val="0"/>
          <w:shd w:fill="FFFFFF" w:val="clear"/>
        </w:rPr>
        <w:t>本市各级人民政府和有关部门应当结合实际，充分运用现行法律制度、政策资源，探索具体可行的优化营商环境创新做法。支持中国（江苏）自由贸易试验区苏州片区、昆山深化两岸产业合作试验区等区域、平台，在法治框架内探索原创性、差异化的优化营商环境的具体措施，并对行之有效的改革措施在全市复制推广。</w:t>
      </w:r>
    </w:p>
    <w:p>
      <w:pPr>
        <w:pStyle w:val="Normal"/>
        <w:ind w:endChars="0" w:end="0"/>
        <w:rPr>
          <w:spacing w:val="0"/>
        </w:rPr>
      </w:pPr>
      <w:r>
        <w:rPr>
          <w:rFonts w:cs="黑体" w:hint="eastAsia" w:eastAsia="黑体"/>
          <w:spacing w:val="0"/>
        </w:rPr>
        <w:t>第六条</w:t>
      </w:r>
      <w:r>
        <w:rPr>
          <w:rFonts w:eastAsia="黑体"/>
          <w:spacing w:val="0"/>
        </w:rPr>
        <w:t xml:space="preserve"> </w:t>
      </w:r>
      <w:r>
        <w:rPr>
          <w:spacing w:val="0"/>
        </w:rPr>
        <w:t xml:space="preserve"> </w:t>
      </w:r>
      <w:r>
        <w:rPr>
          <w:rFonts w:hint="eastAsia"/>
          <w:spacing w:val="0"/>
        </w:rPr>
        <w:t>加强与长三角区域相关城市优化营商环境的交流合作，以长三角区域一体化发展规划为统领，以建设长三角生态绿色一体化发展示范区、推进沪苏同城化发展为重点，推动市场规则衔接和政务服务协作，加快实现政务服务标准统一、资质互认、区域通办，促进市场要素自由流动，推进立法、执法、司法工作合作协同。</w:t>
      </w:r>
    </w:p>
    <w:p>
      <w:pPr>
        <w:pStyle w:val="Normal"/>
        <w:shd w:fill="FFFFFF" w:val="clear"/>
        <w:ind w:endChars="0" w:end="0"/>
        <w:rPr>
          <w:spacing w:val="0"/>
          <w:shd w:fill="FFFFFF" w:val="clear"/>
        </w:rPr>
      </w:pPr>
      <w:r>
        <w:rPr>
          <w:rFonts w:cs="黑体" w:hint="eastAsia" w:eastAsia="黑体"/>
          <w:spacing w:val="0"/>
          <w:shd w:fill="FFFFFF" w:val="clear"/>
        </w:rPr>
        <w:t>第七条</w:t>
      </w:r>
      <w:r>
        <w:rPr>
          <w:spacing w:val="0"/>
          <w:shd w:fill="FFFFFF" w:val="clear"/>
        </w:rPr>
        <w:t xml:space="preserve">  </w:t>
      </w:r>
      <w:r>
        <w:rPr>
          <w:rFonts w:hint="eastAsia"/>
          <w:spacing w:val="0"/>
          <w:shd w:fill="FFFFFF" w:val="clear"/>
        </w:rPr>
        <w:t>有关单位和个人在营商环境改革创新、先行先试工作中出现失误或者偏差，对符合规定条件且勤勉尽责、未牟取私利，未造成重大损失或者社会负面影响的，依法予以免责或者减轻责任。</w:t>
      </w:r>
    </w:p>
    <w:p>
      <w:pPr>
        <w:pStyle w:val="Normal"/>
        <w:ind w:endChars="0" w:end="0"/>
        <w:rPr>
          <w:spacing w:val="0"/>
          <w:shd w:fill="FFFFFF" w:val="clear"/>
        </w:rPr>
      </w:pPr>
      <w:r>
        <w:rPr>
          <w:rFonts w:cs="黑体" w:hint="eastAsia" w:eastAsia="黑体"/>
          <w:spacing w:val="0"/>
          <w:shd w:fill="FFFFFF" w:val="clear"/>
        </w:rPr>
        <w:t>第八条</w:t>
      </w:r>
      <w:r>
        <w:rPr>
          <w:rFonts w:eastAsia="黑体"/>
          <w:spacing w:val="0"/>
          <w:shd w:fill="FFFFFF" w:val="clear"/>
        </w:rPr>
        <w:t xml:space="preserve"> </w:t>
      </w:r>
      <w:r>
        <w:rPr>
          <w:spacing w:val="0"/>
          <w:shd w:fill="FFFFFF" w:val="clear"/>
        </w:rPr>
        <w:t xml:space="preserve"> </w:t>
      </w:r>
      <w:r>
        <w:rPr>
          <w:rFonts w:hint="eastAsia"/>
          <w:spacing w:val="0"/>
          <w:shd w:fill="FFFFFF" w:val="clear"/>
        </w:rPr>
        <w:t>市、县级市（区）人民政府应当完善涉企政策综合协调审查机制和政策执行情况监督机制。</w:t>
      </w:r>
    </w:p>
    <w:p>
      <w:pPr>
        <w:pStyle w:val="Normal"/>
        <w:ind w:endChars="0" w:end="0"/>
        <w:rPr>
          <w:spacing w:val="0"/>
          <w:shd w:fill="FFFFFF" w:val="clear"/>
        </w:rPr>
      </w:pPr>
      <w:r>
        <w:rPr>
          <w:rFonts w:hint="eastAsia"/>
          <w:spacing w:val="0"/>
          <w:shd w:fill="FFFFFF" w:val="clear"/>
        </w:rPr>
        <w:t>本市各级人民政府和有关部门应当根据营商环境评价结果，及时制定、调整优化营商环境政策措施。</w:t>
      </w:r>
    </w:p>
    <w:p>
      <w:pPr>
        <w:pStyle w:val="Normal"/>
        <w:ind w:endChars="0" w:end="0"/>
        <w:rPr>
          <w:spacing w:val="0"/>
        </w:rPr>
      </w:pPr>
      <w:r>
        <w:rPr>
          <w:rFonts w:cs="黑体" w:hint="eastAsia" w:eastAsia="黑体"/>
          <w:spacing w:val="0"/>
        </w:rPr>
        <w:t>第</w:t>
      </w:r>
      <w:r>
        <w:rPr>
          <w:rFonts w:cs="黑体" w:hint="eastAsia" w:eastAsia="黑体"/>
          <w:spacing w:val="0"/>
          <w:shd w:fill="FFFFFF" w:val="clear"/>
        </w:rPr>
        <w:t>九</w:t>
      </w:r>
      <w:r>
        <w:rPr>
          <w:rFonts w:cs="黑体" w:hint="eastAsia" w:eastAsia="黑体"/>
          <w:spacing w:val="0"/>
        </w:rPr>
        <w:t>条</w:t>
      </w:r>
      <w:r>
        <w:rPr>
          <w:rFonts w:eastAsia="黑体"/>
          <w:spacing w:val="0"/>
        </w:rPr>
        <w:t xml:space="preserve"> </w:t>
      </w:r>
      <w:r>
        <w:rPr>
          <w:spacing w:val="0"/>
        </w:rPr>
        <w:t xml:space="preserve"> </w:t>
      </w:r>
      <w:r>
        <w:rPr>
          <w:rFonts w:hint="eastAsia"/>
          <w:spacing w:val="0"/>
        </w:rPr>
        <w:t>每年</w:t>
      </w:r>
      <w:r>
        <w:rPr>
          <w:rFonts w:eastAsia="黑体"/>
          <w:spacing w:val="0"/>
        </w:rPr>
        <w:t>7</w:t>
      </w:r>
      <w:r>
        <w:rPr>
          <w:rFonts w:hint="eastAsia"/>
          <w:spacing w:val="0"/>
        </w:rPr>
        <w:t>月</w:t>
      </w:r>
      <w:r>
        <w:rPr>
          <w:rFonts w:eastAsia="黑体"/>
          <w:spacing w:val="0"/>
        </w:rPr>
        <w:t>21</w:t>
      </w:r>
      <w:r>
        <w:rPr>
          <w:rFonts w:hint="eastAsia"/>
          <w:spacing w:val="0"/>
        </w:rPr>
        <w:t>日为苏州企业家日，</w:t>
      </w:r>
      <w:r>
        <w:rPr>
          <w:rFonts w:hint="eastAsia"/>
          <w:spacing w:val="0"/>
          <w:shd w:fill="FFFFFF" w:val="clear"/>
        </w:rPr>
        <w:t>共同</w:t>
      </w:r>
      <w:r>
        <w:rPr>
          <w:rFonts w:hint="eastAsia"/>
          <w:spacing w:val="0"/>
        </w:rPr>
        <w:t>营造亲商安商的社会氛围，激发和弘扬企业家精神，彰显和发挥企业家作用。</w:t>
      </w:r>
    </w:p>
    <w:p>
      <w:pPr>
        <w:pStyle w:val="Normal"/>
        <w:ind w:endChars="0" w:end="0"/>
        <w:jc w:val="center"/>
        <w:rPr>
          <w:rFonts w:eastAsia="黑体" w:cs="黑体" w:hint="eastAsia"/>
          <w:spacing w:val="0"/>
        </w:rPr>
      </w:pPr>
      <w:r>
        <w:rPr>
          <w:rFonts w:eastAsia="黑体" w:cs="黑体" w:hint="eastAsia"/>
          <w:spacing w:val="0"/>
        </w:rPr>
      </w:r>
    </w:p>
    <w:p>
      <w:pPr>
        <w:pStyle w:val="Normal"/>
        <w:ind w:firstLineChars="0" w:firstLine="0" w:endChars="0" w:end="0"/>
        <w:jc w:val="center"/>
        <w:rPr>
          <w:rFonts w:eastAsia="黑体"/>
          <w:spacing w:val="0"/>
        </w:rPr>
      </w:pPr>
      <w:r>
        <w:rPr>
          <w:rFonts w:cs="黑体" w:hint="eastAsia" w:eastAsia="黑体"/>
          <w:spacing w:val="0"/>
        </w:rPr>
        <w:t>第二章</w:t>
      </w:r>
      <w:r>
        <w:rPr>
          <w:rFonts w:eastAsia="黑体"/>
          <w:spacing w:val="0"/>
        </w:rPr>
        <w:t xml:space="preserve">  </w:t>
      </w:r>
      <w:r>
        <w:rPr>
          <w:rFonts w:cs="黑体" w:hint="eastAsia" w:eastAsia="黑体"/>
          <w:spacing w:val="0"/>
        </w:rPr>
        <w:t>市场环境</w:t>
      </w:r>
    </w:p>
    <w:p>
      <w:pPr>
        <w:pStyle w:val="Normal"/>
        <w:ind w:endChars="0" w:end="0"/>
        <w:rPr>
          <w:rFonts w:eastAsia="黑体" w:cs="黑体" w:hint="eastAsia"/>
          <w:spacing w:val="0"/>
        </w:rPr>
      </w:pPr>
      <w:r>
        <w:rPr>
          <w:rFonts w:eastAsia="黑体" w:cs="黑体" w:hint="eastAsia"/>
          <w:spacing w:val="0"/>
        </w:rPr>
      </w:r>
    </w:p>
    <w:p>
      <w:pPr>
        <w:pStyle w:val="Normal"/>
        <w:ind w:endChars="0" w:end="0"/>
        <w:rPr>
          <w:spacing w:val="0"/>
          <w:shd w:fill="FFFFFF" w:val="clear"/>
        </w:rPr>
      </w:pPr>
      <w:r>
        <w:rPr>
          <w:rFonts w:cs="黑体" w:hint="eastAsia" w:eastAsia="黑体"/>
          <w:spacing w:val="0"/>
        </w:rPr>
        <w:t>第</w:t>
      </w:r>
      <w:r>
        <w:rPr>
          <w:rFonts w:cs="黑体" w:hint="eastAsia" w:eastAsia="黑体"/>
          <w:spacing w:val="0"/>
          <w:shd w:fill="FFFFFF" w:val="clear"/>
        </w:rPr>
        <w:t>十</w:t>
      </w:r>
      <w:r>
        <w:rPr>
          <w:rFonts w:cs="黑体" w:hint="eastAsia" w:eastAsia="黑体"/>
          <w:spacing w:val="0"/>
        </w:rPr>
        <w:t>条</w:t>
      </w:r>
      <w:r>
        <w:rPr>
          <w:rFonts w:eastAsia="黑体"/>
          <w:spacing w:val="0"/>
        </w:rPr>
        <w:t xml:space="preserve">  </w:t>
      </w:r>
      <w:r>
        <w:rPr>
          <w:rFonts w:hint="eastAsia"/>
          <w:spacing w:val="0"/>
          <w:shd w:fill="FFFFFF" w:val="clear"/>
        </w:rPr>
        <w:t>全面落实国家市场准入负面清单制度</w:t>
      </w:r>
      <w:r>
        <w:rPr>
          <w:rFonts w:cs="黑体" w:hint="eastAsia" w:eastAsia="黑体"/>
          <w:spacing w:val="0"/>
          <w:shd w:fill="FFFFFF" w:val="clear"/>
        </w:rPr>
        <w:t>。</w:t>
      </w:r>
      <w:r>
        <w:rPr>
          <w:rFonts w:hint="eastAsia"/>
          <w:spacing w:val="0"/>
          <w:shd w:fill="FFFFFF" w:val="clear"/>
        </w:rPr>
        <w:t>国家市场准入负面清单以外的领域，各类市场主体均可以依法平等进入。</w:t>
      </w:r>
    </w:p>
    <w:p>
      <w:pPr>
        <w:pStyle w:val="Normal"/>
        <w:ind w:endChars="0" w:end="0"/>
        <w:rPr>
          <w:spacing w:val="0"/>
          <w:shd w:fill="FFFFFF" w:val="clear"/>
        </w:rPr>
      </w:pPr>
      <w:r>
        <w:rPr>
          <w:rFonts w:hint="eastAsia"/>
          <w:spacing w:val="0"/>
          <w:shd w:fill="FFFFFF" w:val="clear"/>
        </w:rPr>
        <w:t>全面落实外商投资准入前国民待遇加负面清单管理制度。国家外商投资准入负面清单以外的领域，按照内外资一致原则实施管理。</w:t>
      </w:r>
    </w:p>
    <w:p>
      <w:pPr>
        <w:pStyle w:val="Normal"/>
        <w:ind w:endChars="0" w:end="0"/>
        <w:rPr>
          <w:spacing w:val="0"/>
          <w:shd w:fill="FFFFFF" w:val="clear"/>
        </w:rPr>
      </w:pPr>
      <w:r>
        <w:rPr>
          <w:rFonts w:cs="黑体" w:hint="eastAsia" w:eastAsia="黑体"/>
          <w:spacing w:val="0"/>
        </w:rPr>
        <w:t>第十一条</w:t>
      </w:r>
      <w:r>
        <w:rPr>
          <w:spacing w:val="0"/>
          <w:shd w:fill="FFFFFF" w:val="clear"/>
        </w:rPr>
        <w:t xml:space="preserve">  </w:t>
      </w:r>
      <w:r>
        <w:rPr>
          <w:rFonts w:hint="eastAsia"/>
          <w:spacing w:val="0"/>
          <w:shd w:fill="FFFFFF" w:val="clear"/>
        </w:rPr>
        <w:t>市、县级市（区）人民政府可以根据城市功能定位、发展规划以及环保安全等相关规定，按照规定的权限和程序制定产业引导政策，并向社会公开。</w:t>
      </w:r>
    </w:p>
    <w:p>
      <w:pPr>
        <w:pStyle w:val="Normal"/>
        <w:ind w:endChars="0" w:end="0"/>
        <w:rPr>
          <w:spacing w:val="0"/>
          <w:shd w:fill="FFFFFF" w:val="clear"/>
        </w:rPr>
      </w:pPr>
      <w:r>
        <w:rPr>
          <w:rFonts w:hint="eastAsia"/>
          <w:spacing w:val="0"/>
          <w:shd w:fill="FFFFFF" w:val="clear"/>
        </w:rPr>
        <w:t>完善产业链供需平台建设，推进产业链和创新链深度融合，为企业生产经营、创新提供便利。</w:t>
      </w:r>
    </w:p>
    <w:p>
      <w:pPr>
        <w:pStyle w:val="Normal"/>
        <w:shd w:fill="FFFFFF" w:val="clear"/>
        <w:ind w:endChars="0" w:end="0"/>
        <w:rPr>
          <w:spacing w:val="0"/>
          <w:shd w:fill="FFFFFF" w:val="clear"/>
        </w:rPr>
      </w:pPr>
      <w:r>
        <w:rPr>
          <w:rFonts w:hint="eastAsia"/>
          <w:spacing w:val="0"/>
          <w:shd w:fill="FFFFFF" w:val="clear"/>
        </w:rPr>
        <w:t>鼓励重点行业和企业实施碳达峰、碳中和行动，对推动碳中和等绿色低碳技术革新和应用、大力发展可再生能源利用的企业予以优先支持。</w:t>
      </w:r>
    </w:p>
    <w:p>
      <w:pPr>
        <w:pStyle w:val="Normal"/>
        <w:shd w:fill="FFFFFF" w:val="clear"/>
        <w:ind w:endChars="0" w:end="0"/>
        <w:rPr>
          <w:spacing w:val="0"/>
          <w:shd w:fill="FFFFFF" w:val="clear"/>
        </w:rPr>
      </w:pPr>
      <w:r>
        <w:rPr>
          <w:rFonts w:cs="黑体" w:hint="eastAsia" w:eastAsia="黑体"/>
          <w:spacing w:val="0"/>
          <w:shd w:fill="FFFFFF" w:val="clear"/>
        </w:rPr>
        <w:t>第十二条</w:t>
      </w:r>
      <w:r>
        <w:rPr>
          <w:spacing w:val="0"/>
          <w:shd w:fill="FFFFFF" w:val="clear"/>
        </w:rPr>
        <w:t xml:space="preserve">  </w:t>
      </w:r>
      <w:r>
        <w:rPr>
          <w:rFonts w:hint="eastAsia"/>
          <w:spacing w:val="0"/>
          <w:shd w:fill="FFFFFF" w:val="clear"/>
        </w:rPr>
        <w:t>高标准、高质量建设中国（江苏）自由贸易试验区联动创新发展区、苏州片区联动创新区，推动与自由贸易试验区联动改革、联动创新、联动发展，实现政策联动、功能互补、优势叠加。</w:t>
      </w:r>
    </w:p>
    <w:p>
      <w:pPr>
        <w:pStyle w:val="Normal"/>
        <w:shd w:fill="FFFFFF" w:val="clear"/>
        <w:ind w:endChars="0" w:end="0"/>
        <w:rPr>
          <w:spacing w:val="0"/>
          <w:shd w:fill="FFFFFF" w:val="clear"/>
        </w:rPr>
      </w:pPr>
      <w:r>
        <w:rPr>
          <w:rFonts w:hint="eastAsia"/>
          <w:spacing w:val="0"/>
          <w:shd w:fill="FFFFFF" w:val="clear"/>
        </w:rPr>
        <w:t>支持联动创新发展区、苏州片区联动创新区先行先试、复制推广自由贸易试验区的改革措施，承接省级、市级有序下放的管理事项，构建联动合作机制，加强重点改革领域的融合协同，开展差异化、特色化改革探索。</w:t>
      </w:r>
    </w:p>
    <w:p>
      <w:pPr>
        <w:pStyle w:val="Normal"/>
        <w:ind w:endChars="0" w:end="0"/>
        <w:rPr>
          <w:spacing w:val="0"/>
        </w:rPr>
      </w:pPr>
      <w:r>
        <w:rPr>
          <w:rFonts w:cs="黑体" w:hint="eastAsia" w:eastAsia="黑体"/>
          <w:spacing w:val="0"/>
        </w:rPr>
        <w:t>第十三条</w:t>
      </w:r>
      <w:r>
        <w:rPr>
          <w:rFonts w:eastAsia="黑体"/>
          <w:spacing w:val="0"/>
        </w:rPr>
        <w:t xml:space="preserve"> </w:t>
      </w:r>
      <w:r>
        <w:rPr>
          <w:spacing w:val="0"/>
        </w:rPr>
        <w:t xml:space="preserve"> </w:t>
      </w:r>
      <w:r>
        <w:rPr>
          <w:rFonts w:hint="eastAsia"/>
          <w:spacing w:val="0"/>
        </w:rPr>
        <w:t>打造高质量数字化治理体系，培育和发展数字经济新产业、新业态和新模式，支持构建农业、工业、商业、交通、文化、金融、城市治理、公共服务等领域规范化数据开发应用场景，引导数字经济和实体经济深度融合。有关部门应当发布重点领域应用场景项目清单。</w:t>
      </w:r>
    </w:p>
    <w:p>
      <w:pPr>
        <w:pStyle w:val="Normal"/>
        <w:ind w:endChars="0" w:end="0"/>
        <w:rPr>
          <w:spacing w:val="0"/>
        </w:rPr>
      </w:pPr>
      <w:r>
        <w:rPr>
          <w:rFonts w:hint="eastAsia"/>
          <w:spacing w:val="0"/>
        </w:rPr>
        <w:t>推动企业数字化改造、信息化建设和智能化生产，提升工业互联网平台服务能力，完善智能制造融合发展中心建设。</w:t>
      </w:r>
    </w:p>
    <w:p>
      <w:pPr>
        <w:pStyle w:val="Normal"/>
        <w:ind w:endChars="0" w:end="0"/>
        <w:rPr>
          <w:spacing w:val="0"/>
        </w:rPr>
      </w:pPr>
      <w:r>
        <w:rPr>
          <w:rFonts w:cs="黑体" w:hint="eastAsia" w:eastAsia="黑体"/>
          <w:spacing w:val="0"/>
        </w:rPr>
        <w:t>第十四条</w:t>
      </w:r>
      <w:r>
        <w:rPr>
          <w:spacing w:val="0"/>
        </w:rPr>
        <w:t xml:space="preserve">  </w:t>
      </w:r>
      <w:r>
        <w:rPr>
          <w:rFonts w:hint="eastAsia"/>
          <w:spacing w:val="0"/>
        </w:rPr>
        <w:t>按照国家和省有关规定，优化市场主体登记办理流程，压缩办理时间，提高市场主体登记效率。全面实行市场主体登记、公章刻制、银行开户、涉税业务办理、社保登记、住房公积金缴存登记等一网通办、一窗通取。除依法需要实质审查、前置许可或者涉及金融许可外，开办手续应当在二个工作日内办结。</w:t>
      </w:r>
    </w:p>
    <w:p>
      <w:pPr>
        <w:pStyle w:val="Normal"/>
        <w:ind w:endChars="0" w:end="0"/>
        <w:rPr>
          <w:spacing w:val="0"/>
        </w:rPr>
      </w:pPr>
      <w:r>
        <w:rPr>
          <w:rFonts w:hint="eastAsia"/>
          <w:spacing w:val="0"/>
        </w:rPr>
        <w:t>实施住所（经营场所）登记申报承诺制改革和一照多址改革，推行住所（经营场所）在线核验，推进市场主体法律文书送达地址先行确认及责任承诺制。</w:t>
      </w:r>
    </w:p>
    <w:p>
      <w:pPr>
        <w:pStyle w:val="Normal"/>
        <w:ind w:endChars="0" w:end="0"/>
        <w:rPr>
          <w:spacing w:val="0"/>
        </w:rPr>
      </w:pPr>
      <w:r>
        <w:rPr>
          <w:rFonts w:hint="eastAsia"/>
          <w:spacing w:val="0"/>
        </w:rPr>
        <w:t>支持一业一证审批模式改革，推动多项准营行政许可整合为综合许可，实现一证准营。市场主体需要单项许可证的，有关部门应当予以提供。</w:t>
      </w:r>
    </w:p>
    <w:p>
      <w:pPr>
        <w:pStyle w:val="Normal"/>
        <w:ind w:endChars="0" w:end="0"/>
        <w:rPr>
          <w:rFonts w:eastAsia="黑体"/>
          <w:spacing w:val="0"/>
        </w:rPr>
      </w:pPr>
      <w:r>
        <w:rPr>
          <w:rFonts w:cs="黑体" w:hint="eastAsia" w:eastAsia="黑体"/>
          <w:spacing w:val="0"/>
        </w:rPr>
        <w:t>第十五条</w:t>
      </w:r>
      <w:r>
        <w:rPr>
          <w:rFonts w:eastAsia="黑体"/>
          <w:spacing w:val="0"/>
        </w:rPr>
        <w:t xml:space="preserve">  </w:t>
      </w:r>
      <w:r>
        <w:rPr>
          <w:rFonts w:hint="eastAsia"/>
          <w:spacing w:val="0"/>
        </w:rPr>
        <w:t>推进市场主体年度报告涉及社保、市场监管、税务、海关等事项的多报合一制度。市场主体提交的年度报告涉及政府有关部门已有的信息，有关部门应当共享，不得要求市场主体重复提交。</w:t>
      </w:r>
    </w:p>
    <w:p>
      <w:pPr>
        <w:pStyle w:val="Normal"/>
        <w:ind w:endChars="0" w:end="0"/>
        <w:rPr>
          <w:spacing w:val="0"/>
          <w:shd w:fill="FFFFFF" w:val="clear"/>
        </w:rPr>
      </w:pPr>
      <w:r>
        <w:rPr>
          <w:rFonts w:cs="黑体" w:hint="eastAsia" w:eastAsia="黑体"/>
          <w:spacing w:val="0"/>
        </w:rPr>
        <w:t>第十六条</w:t>
      </w:r>
      <w:r>
        <w:rPr>
          <w:rFonts w:eastAsia="黑体"/>
          <w:spacing w:val="0"/>
        </w:rPr>
        <w:t xml:space="preserve">  </w:t>
      </w:r>
      <w:r>
        <w:rPr>
          <w:rFonts w:hint="eastAsia"/>
          <w:spacing w:val="0"/>
          <w:shd w:fill="FFFFFF" w:val="clear"/>
        </w:rPr>
        <w:t>按照国家和省有关规定，通过省企业注销网上一体化平台，集中受理市场主体办理营业执照、税务、社会保险、海关等各类注销业务申请，由有关部门分类处置、同步办理、一次办结。</w:t>
      </w:r>
    </w:p>
    <w:p>
      <w:pPr>
        <w:pStyle w:val="Normal"/>
        <w:ind w:endChars="0" w:end="0"/>
        <w:rPr>
          <w:spacing w:val="0"/>
          <w:shd w:fill="FFFFFF" w:val="clear"/>
        </w:rPr>
      </w:pPr>
      <w:r>
        <w:rPr>
          <w:rFonts w:hint="eastAsia"/>
          <w:spacing w:val="0"/>
          <w:shd w:fill="FFFFFF" w:val="clear"/>
        </w:rPr>
        <w:t>对符合条件的市场主体实行简易注销登记全程网办。</w:t>
      </w:r>
    </w:p>
    <w:p>
      <w:pPr>
        <w:pStyle w:val="Normal"/>
        <w:ind w:endChars="0" w:end="0"/>
        <w:rPr>
          <w:spacing w:val="0"/>
          <w:shd w:fill="FFFFFF" w:val="clear"/>
        </w:rPr>
      </w:pPr>
      <w:r>
        <w:rPr>
          <w:rFonts w:cs="黑体" w:hint="eastAsia" w:eastAsia="黑体"/>
          <w:spacing w:val="0"/>
        </w:rPr>
        <w:t>第十七条</w:t>
      </w:r>
      <w:r>
        <w:rPr>
          <w:rFonts w:eastAsia="黑体"/>
          <w:spacing w:val="0"/>
        </w:rPr>
        <w:t xml:space="preserve">  </w:t>
      </w:r>
      <w:r>
        <w:rPr>
          <w:rFonts w:hint="eastAsia"/>
          <w:spacing w:val="0"/>
          <w:shd w:fill="FFFFFF" w:val="clear"/>
        </w:rPr>
        <w:t>对依法设立的行政事业性收费、政府性基金、政府定价的经营服务性收费</w:t>
      </w:r>
      <w:r>
        <w:rPr>
          <w:rFonts w:hint="eastAsia"/>
          <w:spacing w:val="0"/>
        </w:rPr>
        <w:t>和涉企保证金，</w:t>
      </w:r>
      <w:r>
        <w:rPr>
          <w:rFonts w:hint="eastAsia"/>
          <w:spacing w:val="0"/>
          <w:shd w:fill="FFFFFF" w:val="clear"/>
        </w:rPr>
        <w:t>实行目录清单管理，动态调整，定期公布。目录清单之外的，一律不得收取。</w:t>
      </w:r>
    </w:p>
    <w:p>
      <w:pPr>
        <w:pStyle w:val="Normal"/>
        <w:shd w:fill="FFFFFF" w:val="clear"/>
        <w:ind w:endChars="0" w:end="0"/>
        <w:rPr>
          <w:spacing w:val="0"/>
          <w:shd w:fill="A5A5A5" w:val="clear"/>
        </w:rPr>
      </w:pPr>
      <w:r>
        <w:rPr>
          <w:rFonts w:hint="eastAsia"/>
          <w:spacing w:val="0"/>
        </w:rPr>
        <w:t>对于信用记录良好的企业，可以按照规定降低涉企保</w:t>
      </w:r>
      <w:r>
        <w:rPr>
          <w:rFonts w:hint="eastAsia"/>
          <w:spacing w:val="0"/>
          <w:shd w:fill="FFFFFF" w:val="clear"/>
        </w:rPr>
        <w:t>证金比例</w:t>
      </w:r>
      <w:r>
        <w:rPr>
          <w:rFonts w:hint="eastAsia"/>
          <w:spacing w:val="0"/>
        </w:rPr>
        <w:t>、分期收缴。</w:t>
      </w:r>
      <w:r>
        <w:rPr>
          <w:rFonts w:hint="eastAsia"/>
          <w:spacing w:val="0"/>
          <w:shd w:fill="FFFFFF" w:val="clear"/>
        </w:rPr>
        <w:t>推广以金融机构保函替代现金缴纳涉企保证金，并在相关规范和办事指南中予以明确。</w:t>
      </w:r>
    </w:p>
    <w:p>
      <w:pPr>
        <w:pStyle w:val="Normal"/>
        <w:ind w:endChars="0" w:end="0"/>
        <w:rPr>
          <w:spacing w:val="0"/>
        </w:rPr>
      </w:pPr>
      <w:r>
        <w:rPr>
          <w:rFonts w:cs="黑体" w:hint="eastAsia" w:eastAsia="黑体"/>
          <w:spacing w:val="0"/>
        </w:rPr>
        <w:t>第十八条</w:t>
      </w:r>
      <w:r>
        <w:rPr>
          <w:spacing w:val="0"/>
        </w:rPr>
        <w:t xml:space="preserve">  </w:t>
      </w:r>
      <w:r>
        <w:rPr>
          <w:rFonts w:hint="eastAsia"/>
          <w:spacing w:val="0"/>
        </w:rPr>
        <w:t>鼓励推行产业定制地</w:t>
      </w:r>
      <w:r>
        <w:rPr>
          <w:rFonts w:hint="eastAsia"/>
          <w:spacing w:val="0"/>
          <w:shd w:fill="FFFFFF" w:val="clear"/>
        </w:rPr>
        <w:t>配置</w:t>
      </w:r>
      <w:r>
        <w:rPr>
          <w:rFonts w:hint="eastAsia"/>
          <w:spacing w:val="0"/>
        </w:rPr>
        <w:t>模式，实现用地前期</w:t>
      </w:r>
      <w:r>
        <w:rPr>
          <w:rFonts w:hint="eastAsia"/>
          <w:spacing w:val="0"/>
          <w:shd w:fill="FFFFFF" w:val="clear"/>
        </w:rPr>
        <w:t>开发</w:t>
      </w:r>
      <w:r>
        <w:rPr>
          <w:rFonts w:hint="eastAsia"/>
          <w:spacing w:val="0"/>
        </w:rPr>
        <w:t>标准化和</w:t>
      </w:r>
      <w:r>
        <w:rPr>
          <w:rFonts w:hint="eastAsia"/>
          <w:spacing w:val="0"/>
          <w:shd w:fill="FFFFFF" w:val="clear"/>
        </w:rPr>
        <w:t>周边配套</w:t>
      </w:r>
      <w:r>
        <w:rPr>
          <w:rFonts w:hint="eastAsia"/>
          <w:spacing w:val="0"/>
        </w:rPr>
        <w:t>定制化，中期准入要求标准化和配置方式定制化，后期供后管理标准化和配套服务定制化。</w:t>
      </w:r>
    </w:p>
    <w:p>
      <w:pPr>
        <w:pStyle w:val="Normal"/>
        <w:ind w:endChars="0" w:end="0"/>
        <w:rPr>
          <w:rFonts w:eastAsia="黑体"/>
          <w:spacing w:val="0"/>
        </w:rPr>
      </w:pPr>
      <w:r>
        <w:rPr>
          <w:rFonts w:hint="eastAsia"/>
          <w:spacing w:val="0"/>
        </w:rPr>
        <w:t>实施产业用地储备，发布产业用地供应图</w:t>
      </w:r>
      <w:r>
        <w:rPr>
          <w:rFonts w:cs="黑体" w:hint="eastAsia" w:eastAsia="黑体"/>
          <w:spacing w:val="0"/>
        </w:rPr>
        <w:t>。</w:t>
      </w:r>
      <w:r>
        <w:rPr>
          <w:rFonts w:hint="eastAsia"/>
          <w:spacing w:val="0"/>
        </w:rPr>
        <w:t>在工业片区内合理布局工业邻里中心，集中配置停车场、行政办公、商务、生活服务、租赁住房、绿地等公共配套和服务设施，提升工业片区整体配套水平。</w:t>
      </w:r>
    </w:p>
    <w:p>
      <w:pPr>
        <w:pStyle w:val="Normal"/>
        <w:ind w:endChars="0" w:end="0"/>
        <w:rPr>
          <w:rFonts w:eastAsia="黑体"/>
          <w:spacing w:val="0"/>
        </w:rPr>
      </w:pPr>
      <w:r>
        <w:rPr>
          <w:rFonts w:hint="eastAsia"/>
          <w:spacing w:val="0"/>
        </w:rPr>
        <w:t>完善项目筛选机制，建立产业项目综合评价指标体系。推行弹性年期出让、先租后让、租让结合、复合利用等供地方式，满足企业不同发展阶段的用地需求，降低企业用地成本。</w:t>
      </w:r>
    </w:p>
    <w:p>
      <w:pPr>
        <w:pStyle w:val="Normal"/>
        <w:ind w:endChars="0" w:end="0"/>
        <w:rPr>
          <w:spacing w:val="0"/>
        </w:rPr>
      </w:pPr>
      <w:r>
        <w:rPr>
          <w:rFonts w:hint="eastAsia"/>
          <w:spacing w:val="0"/>
        </w:rPr>
        <w:t>推广土地出让合同和投资发展监管协议相结合管理模式，将准入要求纳入投资发展监管协议，竞得人在签订土地出让合同前与属地政府签订投资发展监管协议。通过土地供后全链管理平台，以企业自主申报和政府核实相结合方式，建立产业用地全链条管理机制。</w:t>
      </w:r>
    </w:p>
    <w:p>
      <w:pPr>
        <w:pStyle w:val="Normal"/>
        <w:ind w:endChars="0" w:end="0"/>
        <w:rPr>
          <w:rFonts w:eastAsia="黑体"/>
          <w:spacing w:val="0"/>
        </w:rPr>
      </w:pPr>
      <w:r>
        <w:rPr>
          <w:rFonts w:cs="黑体" w:hint="eastAsia" w:eastAsia="黑体"/>
          <w:spacing w:val="0"/>
        </w:rPr>
        <w:t>第十九条</w:t>
      </w:r>
      <w:r>
        <w:rPr>
          <w:rFonts w:eastAsia="黑体"/>
          <w:spacing w:val="0"/>
        </w:rPr>
        <w:t xml:space="preserve">  </w:t>
      </w:r>
      <w:r>
        <w:rPr>
          <w:rFonts w:hint="eastAsia"/>
          <w:spacing w:val="0"/>
        </w:rPr>
        <w:t>强化规划统筹引领和土地要素支撑，探索构建政府引导、市场运作、社会参与的城市更新机制，激发市场活力</w:t>
      </w:r>
      <w:r>
        <w:rPr>
          <w:rFonts w:cs="黑体" w:hint="eastAsia" w:eastAsia="黑体"/>
          <w:spacing w:val="0"/>
        </w:rPr>
        <w:t>。</w:t>
      </w:r>
    </w:p>
    <w:p>
      <w:pPr>
        <w:pStyle w:val="Normal"/>
        <w:ind w:endChars="0" w:end="0"/>
        <w:rPr>
          <w:spacing w:val="0"/>
        </w:rPr>
      </w:pPr>
      <w:r>
        <w:rPr>
          <w:rFonts w:hint="eastAsia"/>
          <w:spacing w:val="0"/>
        </w:rPr>
        <w:t>推进国有建设用地使用权转让、出租、抵押二级市场交易平台和配套制度建设。规范工业用地转让管理，构建准入标准统一的产业用地一、二级市场。</w:t>
      </w:r>
    </w:p>
    <w:p>
      <w:pPr>
        <w:pStyle w:val="Normal"/>
        <w:ind w:endChars="0" w:end="0"/>
        <w:rPr>
          <w:spacing w:val="0"/>
        </w:rPr>
      </w:pPr>
      <w:r>
        <w:rPr>
          <w:rFonts w:hint="eastAsia"/>
          <w:spacing w:val="0"/>
        </w:rPr>
        <w:t>支持引导市场主体因地制宜采取综合整治、功能转换、拆除重建等多种方式实施低效用地再开发，促进节地水平和利用效益提升。</w:t>
      </w:r>
    </w:p>
    <w:p>
      <w:pPr>
        <w:pStyle w:val="Normal"/>
        <w:ind w:endChars="0" w:end="0"/>
        <w:rPr>
          <w:rFonts w:eastAsia="黑体"/>
          <w:spacing w:val="0"/>
        </w:rPr>
      </w:pPr>
      <w:r>
        <w:rPr>
          <w:rFonts w:hint="eastAsia"/>
          <w:spacing w:val="0"/>
        </w:rPr>
        <w:t>鼓励产权人利用存量土地和现有房屋通过依法自行改造、临时改变使用功能等方式盘活利用，提升存量资源承载能力。</w:t>
      </w:r>
    </w:p>
    <w:p>
      <w:pPr>
        <w:pStyle w:val="Normal"/>
        <w:ind w:endChars="0" w:end="0"/>
        <w:rPr>
          <w:spacing w:val="0"/>
        </w:rPr>
      </w:pPr>
      <w:r>
        <w:rPr>
          <w:rFonts w:hint="eastAsia"/>
          <w:spacing w:val="0"/>
        </w:rPr>
        <w:t>既有建筑改造利用不改变使用功能的，应当执行现行国家工程建设消防技术标准；受条件限制确有困难的，应当不低于建成时的消防技术标准或者消防安全水平。改造既有建筑并变更用途的，应当符合既有建筑改造利用消防技术要点。</w:t>
      </w:r>
    </w:p>
    <w:p>
      <w:pPr>
        <w:pStyle w:val="Normal"/>
        <w:ind w:endChars="0" w:end="0"/>
        <w:rPr>
          <w:spacing w:val="0"/>
        </w:rPr>
      </w:pPr>
      <w:r>
        <w:rPr>
          <w:rFonts w:cs="黑体" w:hint="eastAsia" w:eastAsia="黑体"/>
          <w:spacing w:val="0"/>
        </w:rPr>
        <w:t>第</w:t>
      </w:r>
      <w:r>
        <w:rPr>
          <w:rFonts w:cs="黑体" w:hint="eastAsia" w:eastAsia="黑体"/>
          <w:spacing w:val="0"/>
          <w:shd w:fill="FFFFFF" w:val="clear"/>
        </w:rPr>
        <w:t>二十</w:t>
      </w:r>
      <w:r>
        <w:rPr>
          <w:rFonts w:cs="黑体" w:hint="eastAsia" w:eastAsia="黑体"/>
          <w:spacing w:val="0"/>
        </w:rPr>
        <w:t>条</w:t>
      </w:r>
      <w:r>
        <w:rPr>
          <w:rFonts w:eastAsia="黑体"/>
          <w:spacing w:val="0"/>
        </w:rPr>
        <w:t xml:space="preserve">  </w:t>
      </w:r>
      <w:r>
        <w:rPr>
          <w:rFonts w:hint="eastAsia"/>
          <w:spacing w:val="0"/>
        </w:rPr>
        <w:t>鼓励和支持企业自主研发和自主创新，加大知识产权投入，支持企业知识产权海内外布局。开展高价值专利、高知名度品牌、精品版权培育。</w:t>
      </w:r>
    </w:p>
    <w:p>
      <w:pPr>
        <w:pStyle w:val="Normal"/>
        <w:ind w:endChars="0" w:end="0"/>
        <w:rPr>
          <w:spacing w:val="0"/>
        </w:rPr>
      </w:pPr>
      <w:r>
        <w:rPr>
          <w:rFonts w:hint="eastAsia"/>
          <w:spacing w:val="0"/>
        </w:rPr>
        <w:t>支持知识产权运营引导基金运作，为创新企业提供全生命周期的知识产权金融支持。支持投保知识产权保险。</w:t>
      </w:r>
    </w:p>
    <w:p>
      <w:pPr>
        <w:pStyle w:val="Normal"/>
        <w:ind w:endChars="0" w:end="0"/>
        <w:rPr>
          <w:spacing w:val="0"/>
        </w:rPr>
      </w:pPr>
      <w:r>
        <w:rPr>
          <w:rFonts w:hint="eastAsia"/>
          <w:spacing w:val="0"/>
        </w:rPr>
        <w:t>引导企业与高校院所开展知识产权转化运用的深度合作，推进知识产权转化运用，依法保护知识产权及其成果转化收益。</w:t>
      </w:r>
    </w:p>
    <w:p>
      <w:pPr>
        <w:pStyle w:val="Normal"/>
        <w:ind w:endChars="0" w:end="0"/>
        <w:rPr>
          <w:rFonts w:eastAsia="黑体"/>
          <w:spacing w:val="0"/>
        </w:rPr>
      </w:pPr>
      <w:r>
        <w:rPr>
          <w:rFonts w:cs="黑体" w:hint="eastAsia" w:eastAsia="黑体"/>
          <w:spacing w:val="0"/>
        </w:rPr>
        <w:t>第</w:t>
      </w:r>
      <w:r>
        <w:rPr>
          <w:rFonts w:cs="黑体" w:hint="eastAsia" w:eastAsia="黑体"/>
          <w:spacing w:val="0"/>
          <w:shd w:fill="FFFFFF" w:val="clear"/>
        </w:rPr>
        <w:t>二十一</w:t>
      </w:r>
      <w:r>
        <w:rPr>
          <w:rFonts w:cs="黑体" w:hint="eastAsia" w:eastAsia="黑体"/>
          <w:spacing w:val="0"/>
        </w:rPr>
        <w:t>条</w:t>
      </w:r>
      <w:r>
        <w:rPr>
          <w:rFonts w:eastAsia="黑体"/>
          <w:spacing w:val="0"/>
        </w:rPr>
        <w:t xml:space="preserve">  </w:t>
      </w:r>
      <w:r>
        <w:rPr>
          <w:rFonts w:hint="eastAsia"/>
          <w:spacing w:val="0"/>
        </w:rPr>
        <w:t>完善知识产权保护体系建设，开展知识产权保护监测，建立海外知识产权维权援助机制，发布海外维权指引。</w:t>
      </w:r>
    </w:p>
    <w:p>
      <w:pPr>
        <w:pStyle w:val="Normal"/>
        <w:ind w:endChars="0" w:end="0"/>
        <w:rPr>
          <w:spacing w:val="0"/>
        </w:rPr>
      </w:pPr>
      <w:r>
        <w:rPr>
          <w:rFonts w:hint="eastAsia"/>
          <w:spacing w:val="0"/>
        </w:rPr>
        <w:t>完善知识产权行政保护与司法保护衔接机制，推动知识产权公益诉讼，依法实行知识产权侵权惩罚性赔偿制度。</w:t>
      </w:r>
    </w:p>
    <w:p>
      <w:pPr>
        <w:pStyle w:val="Normal"/>
        <w:ind w:endChars="0" w:end="0"/>
        <w:rPr>
          <w:spacing w:val="0"/>
        </w:rPr>
      </w:pPr>
      <w:r>
        <w:rPr>
          <w:rFonts w:hint="eastAsia"/>
          <w:spacing w:val="0"/>
        </w:rPr>
        <w:t>发挥苏州知识产权法庭跨区域管辖职能，推行以购买服务为保障的技术调查官模式，为审理复杂重大的知识产权案件提供必要的专业技术支持。</w:t>
      </w:r>
    </w:p>
    <w:p>
      <w:pPr>
        <w:pStyle w:val="Normal"/>
        <w:ind w:endChars="0" w:end="0"/>
        <w:rPr>
          <w:rFonts w:eastAsia="黑体"/>
          <w:spacing w:val="0"/>
        </w:rPr>
      </w:pPr>
      <w:r>
        <w:rPr>
          <w:rFonts w:cs="黑体" w:hint="eastAsia" w:eastAsia="黑体"/>
          <w:spacing w:val="0"/>
        </w:rPr>
        <w:t>第二十二条</w:t>
      </w:r>
      <w:r>
        <w:rPr>
          <w:rFonts w:eastAsia="黑体"/>
          <w:spacing w:val="0"/>
        </w:rPr>
        <w:t xml:space="preserve">  </w:t>
      </w:r>
      <w:r>
        <w:rPr>
          <w:rFonts w:hint="eastAsia"/>
          <w:spacing w:val="0"/>
        </w:rPr>
        <w:t>建立健全知识产权公共服务体系，支持重点知识产权公共服务机构、网点和平台建设，提供知识产权受理、审查、确权、维权、预警分析的综合服务。</w:t>
      </w:r>
    </w:p>
    <w:p>
      <w:pPr>
        <w:pStyle w:val="Normal"/>
        <w:ind w:endChars="0" w:end="0"/>
        <w:rPr>
          <w:spacing w:val="0"/>
        </w:rPr>
      </w:pPr>
      <w:r>
        <w:rPr>
          <w:rFonts w:hint="eastAsia"/>
          <w:spacing w:val="0"/>
        </w:rPr>
        <w:t>开展专利导航，逐步构建苏州产业专利地图。推进产业知识产权联盟和产业专利池建设，推动专利协同运用。</w:t>
      </w:r>
    </w:p>
    <w:p>
      <w:pPr>
        <w:pStyle w:val="Normal"/>
        <w:ind w:endChars="0" w:end="0"/>
        <w:rPr>
          <w:spacing w:val="0"/>
        </w:rPr>
      </w:pPr>
      <w:r>
        <w:rPr>
          <w:rFonts w:hint="eastAsia"/>
          <w:spacing w:val="0"/>
        </w:rPr>
        <w:t>建立健全战略性新兴产业和先进制造业等产业的知识产权预警分析机制，为市场主体提供便捷、优质的知识产权基础信息服务。</w:t>
      </w:r>
    </w:p>
    <w:p>
      <w:pPr>
        <w:pStyle w:val="Normal"/>
        <w:ind w:endChars="0" w:end="0"/>
        <w:rPr>
          <w:rFonts w:eastAsia="黑体"/>
          <w:spacing w:val="0"/>
        </w:rPr>
      </w:pPr>
      <w:r>
        <w:rPr>
          <w:rFonts w:cs="黑体" w:hint="eastAsia" w:eastAsia="黑体"/>
          <w:spacing w:val="0"/>
        </w:rPr>
        <w:t>第二十三条</w:t>
      </w:r>
      <w:r>
        <w:rPr>
          <w:rFonts w:eastAsia="黑体"/>
          <w:spacing w:val="0"/>
        </w:rPr>
        <w:t xml:space="preserve">  </w:t>
      </w:r>
      <w:r>
        <w:rPr>
          <w:rFonts w:hint="eastAsia"/>
          <w:spacing w:val="0"/>
        </w:rPr>
        <w:t>支持和鼓励中小科技企业加大科技创新和研究开发投入，提升科技研发能力。通过给予科技金融、创业孵化、技术转移、项目资助等科技服务和政策扶持，促进中小科技企业做大做强。</w:t>
      </w:r>
    </w:p>
    <w:p>
      <w:pPr>
        <w:pStyle w:val="Normal"/>
        <w:ind w:endChars="0" w:end="0"/>
        <w:rPr>
          <w:spacing w:val="0"/>
        </w:rPr>
      </w:pPr>
      <w:r>
        <w:rPr>
          <w:rFonts w:cs="黑体" w:hint="eastAsia" w:eastAsia="黑体"/>
          <w:spacing w:val="0"/>
        </w:rPr>
        <w:t>第二十四条</w:t>
      </w:r>
      <w:r>
        <w:rPr>
          <w:rFonts w:eastAsia="黑体"/>
          <w:spacing w:val="0"/>
        </w:rPr>
        <w:t xml:space="preserve">  </w:t>
      </w:r>
      <w:r>
        <w:rPr>
          <w:rFonts w:hint="eastAsia"/>
          <w:spacing w:val="0"/>
        </w:rPr>
        <w:t>支持科技研发资源开放共享，完善研发资源共享服务平台，建设生物医药等专业化子平台，集聚服务机构与仪器设施，共享大装置大平台资源，降低企业研发成本。</w:t>
      </w:r>
    </w:p>
    <w:p>
      <w:pPr>
        <w:pStyle w:val="Normal"/>
        <w:ind w:endChars="0" w:end="0"/>
        <w:rPr>
          <w:spacing w:val="0"/>
        </w:rPr>
      </w:pPr>
      <w:r>
        <w:rPr>
          <w:rFonts w:cs="黑体" w:hint="eastAsia" w:eastAsia="黑体"/>
          <w:spacing w:val="0"/>
        </w:rPr>
        <w:t>第二十五条</w:t>
      </w:r>
      <w:r>
        <w:rPr>
          <w:rFonts w:eastAsia="黑体"/>
          <w:spacing w:val="0"/>
        </w:rPr>
        <w:t xml:space="preserve"> </w:t>
      </w:r>
      <w:r>
        <w:rPr>
          <w:spacing w:val="0"/>
        </w:rPr>
        <w:t xml:space="preserve"> </w:t>
      </w:r>
      <w:r>
        <w:rPr>
          <w:rFonts w:hint="eastAsia"/>
          <w:spacing w:val="0"/>
        </w:rPr>
        <w:t>鼓励金融机构发挥服务实体经济、推动绿色低碳转型功能，促进企业融资畅通和绿色金融发展。</w:t>
      </w:r>
    </w:p>
    <w:p>
      <w:pPr>
        <w:pStyle w:val="Normal"/>
        <w:ind w:endChars="0" w:end="0"/>
        <w:rPr>
          <w:spacing w:val="0"/>
        </w:rPr>
      </w:pPr>
      <w:r>
        <w:rPr>
          <w:rFonts w:hint="eastAsia"/>
          <w:spacing w:val="0"/>
        </w:rPr>
        <w:t>推进政府性融资担保体系建设，发挥融资担保代补代偿专项资金作用，引导更多金融资源流向小微企业普惠领域。</w:t>
      </w:r>
    </w:p>
    <w:p>
      <w:pPr>
        <w:pStyle w:val="Normal"/>
        <w:ind w:endChars="0" w:end="0"/>
        <w:rPr>
          <w:spacing w:val="0"/>
        </w:rPr>
      </w:pPr>
      <w:r>
        <w:rPr>
          <w:rFonts w:hint="eastAsia"/>
          <w:spacing w:val="0"/>
        </w:rPr>
        <w:t>鼓励金融机构开发创新金融产品和业务模式，为诚信经营的中小企业提供无抵押信用贷款。</w:t>
      </w:r>
    </w:p>
    <w:p>
      <w:pPr>
        <w:pStyle w:val="Normal"/>
        <w:ind w:endChars="0" w:end="0"/>
        <w:rPr>
          <w:spacing w:val="0"/>
        </w:rPr>
      </w:pPr>
      <w:r>
        <w:rPr>
          <w:rFonts w:hint="eastAsia"/>
          <w:spacing w:val="0"/>
        </w:rPr>
        <w:t>发挥天使投资引导基金效用，引导社会资本投资初创期企业和项目，助推企业快速成长。</w:t>
      </w:r>
    </w:p>
    <w:p>
      <w:pPr>
        <w:pStyle w:val="Normal"/>
        <w:ind w:endChars="0" w:end="0"/>
        <w:rPr>
          <w:spacing w:val="0"/>
        </w:rPr>
      </w:pPr>
      <w:r>
        <w:rPr>
          <w:rFonts w:hint="eastAsia"/>
          <w:spacing w:val="0"/>
        </w:rPr>
        <w:t>推进小微企业数字征信</w:t>
      </w:r>
      <w:r>
        <w:rPr>
          <w:rFonts w:hint="eastAsia"/>
          <w:spacing w:val="0"/>
          <w:shd w:fill="FFFFFF" w:val="clear"/>
        </w:rPr>
        <w:t>实</w:t>
      </w:r>
      <w:r>
        <w:rPr>
          <w:rFonts w:hint="eastAsia"/>
          <w:spacing w:val="0"/>
        </w:rPr>
        <w:t>验区、金融科技创新监管、央行数字货币等创新试点建设，探索建立数字金融服务体系、推动数字资产登记结算平台、数字普惠金融一体化服务平台建设。</w:t>
      </w:r>
    </w:p>
    <w:p>
      <w:pPr>
        <w:pStyle w:val="Normal"/>
        <w:ind w:endChars="0" w:end="0"/>
        <w:rPr>
          <w:spacing w:val="0"/>
        </w:rPr>
      </w:pPr>
      <w:r>
        <w:rPr>
          <w:rFonts w:cs="黑体" w:hint="eastAsia" w:eastAsia="黑体"/>
          <w:spacing w:val="0"/>
        </w:rPr>
        <w:t>第二十六条</w:t>
      </w:r>
      <w:r>
        <w:rPr>
          <w:rFonts w:eastAsia="黑体"/>
          <w:spacing w:val="0"/>
        </w:rPr>
        <w:t xml:space="preserve">  </w:t>
      </w:r>
      <w:r>
        <w:rPr>
          <w:rFonts w:hint="eastAsia"/>
          <w:spacing w:val="0"/>
        </w:rPr>
        <w:t>加大对中小投资者权益的保护力度，完善中小投资者权益保护机制，提升中小投资者维护合法权益的便利度，依法保障中小投资者的知情权、参与权、表决权、收益权和监督权等合法权利。</w:t>
      </w:r>
    </w:p>
    <w:p>
      <w:pPr>
        <w:pStyle w:val="Normal"/>
        <w:shd w:fill="FFFFFF" w:val="clear"/>
        <w:ind w:endChars="0" w:end="0"/>
        <w:rPr>
          <w:spacing w:val="0"/>
        </w:rPr>
      </w:pPr>
      <w:r>
        <w:rPr>
          <w:rFonts w:hint="eastAsia"/>
          <w:spacing w:val="0"/>
        </w:rPr>
        <w:t>依法保障各类市场主体在经济活动中的权利平等、机会平等、规则平等，依法保护企业经营者人身权、财产权和经营自主权。</w:t>
      </w:r>
    </w:p>
    <w:p>
      <w:pPr>
        <w:pStyle w:val="Normal"/>
        <w:ind w:endChars="0" w:end="0"/>
        <w:rPr>
          <w:spacing w:val="0"/>
        </w:rPr>
      </w:pPr>
      <w:r>
        <w:rPr>
          <w:rFonts w:cs="黑体" w:hint="eastAsia" w:eastAsia="黑体"/>
          <w:spacing w:val="0"/>
        </w:rPr>
        <w:t>第二十七条</w:t>
      </w:r>
      <w:r>
        <w:rPr>
          <w:rFonts w:eastAsia="黑体"/>
          <w:spacing w:val="0"/>
        </w:rPr>
        <w:t xml:space="preserve"> </w:t>
      </w:r>
      <w:r>
        <w:rPr>
          <w:spacing w:val="0"/>
        </w:rPr>
        <w:t xml:space="preserve"> </w:t>
      </w:r>
      <w:r>
        <w:rPr>
          <w:rFonts w:hint="eastAsia"/>
          <w:spacing w:val="0"/>
        </w:rPr>
        <w:t>协调推进人才发展体制机制改革和政策创新，健全人才引进、培养、使用、评价、流动、激励机制，引导社会力量主动参与人才资源开发，加快构建具有吸引力和国际竞争力的人才制度体系。</w:t>
      </w:r>
    </w:p>
    <w:p>
      <w:pPr>
        <w:pStyle w:val="Normal"/>
        <w:ind w:endChars="0" w:end="0"/>
        <w:rPr>
          <w:spacing w:val="0"/>
        </w:rPr>
      </w:pPr>
      <w:r>
        <w:rPr>
          <w:rFonts w:hint="eastAsia"/>
          <w:spacing w:val="0"/>
        </w:rPr>
        <w:t>实施更加开放、更加便利的人才引进政策，持续拓宽招才引智渠道，为高层次人才提供资格认定、待遇落实、创业服务、生活优享等一站式服务，配套打造高水平国际人才社区。</w:t>
      </w:r>
    </w:p>
    <w:p>
      <w:pPr>
        <w:pStyle w:val="Normal"/>
        <w:ind w:endChars="0" w:end="0"/>
        <w:rPr>
          <w:spacing w:val="0"/>
        </w:rPr>
      </w:pPr>
      <w:r>
        <w:rPr>
          <w:rFonts w:hint="eastAsia"/>
          <w:spacing w:val="0"/>
        </w:rPr>
        <w:t>本市为外籍高层次人才出入境通关、停留居留和工作学习生活提供便利。支持设立外国人工作、居留单一窗口，通过单一窗口办理工作许可和居留许可的，应当在七个工作日内一次办结。构建外国人才用人单位诚信机制，对列入诚信名录的，在办理外国人才来华工作许可时享受相关便捷服务。</w:t>
      </w:r>
    </w:p>
    <w:p>
      <w:pPr>
        <w:pStyle w:val="Normal"/>
        <w:ind w:endChars="0" w:end="0"/>
        <w:rPr>
          <w:spacing w:val="0"/>
          <w:shd w:fill="FFFFFF" w:val="clear"/>
        </w:rPr>
      </w:pPr>
      <w:r>
        <w:rPr>
          <w:rFonts w:cs="黑体" w:hint="eastAsia" w:eastAsia="黑体"/>
          <w:spacing w:val="0"/>
        </w:rPr>
        <w:t>第二十八条</w:t>
      </w:r>
      <w:r>
        <w:rPr>
          <w:rFonts w:eastAsia="黑体"/>
          <w:spacing w:val="0"/>
        </w:rPr>
        <w:t xml:space="preserve">  </w:t>
      </w:r>
      <w:r>
        <w:rPr>
          <w:rFonts w:hint="eastAsia"/>
          <w:spacing w:val="0"/>
          <w:shd w:fill="FFFFFF" w:val="clear"/>
        </w:rPr>
        <w:t>开展国际职业资格比照认定，落实境外职业资格持有人享受有关政策待遇。加强职业技术教育和培训，扩大职业技能培训市场对外开放。</w:t>
      </w:r>
    </w:p>
    <w:p>
      <w:pPr>
        <w:pStyle w:val="Normal"/>
        <w:ind w:endChars="0" w:end="0"/>
        <w:rPr>
          <w:rFonts w:eastAsia="黑体"/>
          <w:spacing w:val="0"/>
        </w:rPr>
      </w:pPr>
      <w:r>
        <w:rPr>
          <w:rFonts w:hint="eastAsia"/>
          <w:spacing w:val="0"/>
          <w:shd w:fill="FFFFFF" w:val="clear"/>
        </w:rPr>
        <w:t>推进企业用工供需对接信息平台建设，支持有需求的企业规范开展共享用工。支持和规范新业态领域多样化劳动用工，推动用人单位与劳动者采用电子形式订立劳动合同。</w:t>
      </w:r>
    </w:p>
    <w:p>
      <w:pPr>
        <w:pStyle w:val="Normal"/>
        <w:ind w:endChars="0" w:end="0"/>
        <w:rPr>
          <w:spacing w:val="0"/>
          <w:shd w:fill="FFFFFF" w:val="clear"/>
        </w:rPr>
      </w:pPr>
      <w:r>
        <w:rPr>
          <w:rFonts w:hint="eastAsia"/>
          <w:spacing w:val="0"/>
          <w:shd w:fill="FFFFFF" w:val="clear"/>
        </w:rPr>
        <w:t>发挥人力资源服务产业园集聚发展和辐射带动作用，维护人力资源市场秩序稳定。建立健全劳务派遣单位劳动保障信用等级评价制度。</w:t>
      </w:r>
    </w:p>
    <w:p>
      <w:pPr>
        <w:pStyle w:val="Normal"/>
        <w:shd w:fill="FFFFFF" w:val="clear"/>
        <w:ind w:endChars="0" w:end="0"/>
        <w:rPr>
          <w:spacing w:val="0"/>
          <w:shd w:fill="FFFFFF" w:val="clear"/>
        </w:rPr>
      </w:pPr>
      <w:r>
        <w:rPr>
          <w:rFonts w:hint="eastAsia"/>
          <w:spacing w:val="0"/>
          <w:shd w:fill="FFFFFF" w:val="clear"/>
        </w:rPr>
        <w:t>发挥苏州劳动法庭专业化审判职能作用，通过设立企业高端人才劳动纠纷、平台经济新就业形态案件等专业合议庭，加强裁审衔接，规范高效化解劳动争议，维护和谐稳定劳动关系。</w:t>
      </w:r>
    </w:p>
    <w:p>
      <w:pPr>
        <w:pStyle w:val="Normal"/>
        <w:ind w:endChars="0" w:end="0"/>
        <w:rPr>
          <w:spacing w:val="0"/>
        </w:rPr>
      </w:pPr>
      <w:r>
        <w:rPr>
          <w:rFonts w:cs="黑体" w:hint="eastAsia" w:eastAsia="黑体"/>
          <w:spacing w:val="0"/>
        </w:rPr>
        <w:t>第二十九条</w:t>
      </w:r>
      <w:r>
        <w:rPr>
          <w:rFonts w:eastAsia="黑体"/>
          <w:spacing w:val="0"/>
        </w:rPr>
        <w:t xml:space="preserve">  </w:t>
      </w:r>
      <w:r>
        <w:rPr>
          <w:rFonts w:hint="eastAsia"/>
          <w:spacing w:val="0"/>
          <w:shd w:fill="FFFFFF" w:val="clear"/>
        </w:rPr>
        <w:t>市、县级市（区）人民政府应当完善公共资源交易制度和价格形成机制，实行交易目录清单管理，健全出让、转让规则。建立统一的公共资源交</w:t>
      </w:r>
      <w:r>
        <w:rPr>
          <w:rFonts w:hint="eastAsia"/>
          <w:spacing w:val="0"/>
        </w:rPr>
        <w:t>易、服务、监管电子化系统和公共资源交易信用共享机制。</w:t>
      </w:r>
    </w:p>
    <w:p>
      <w:pPr>
        <w:pStyle w:val="Normal"/>
        <w:ind w:endChars="0" w:end="0"/>
        <w:rPr>
          <w:spacing w:val="0"/>
        </w:rPr>
      </w:pPr>
      <w:r>
        <w:rPr>
          <w:rFonts w:hint="eastAsia"/>
          <w:spacing w:val="0"/>
        </w:rPr>
        <w:t>推进公共资源交易平台跨区域合作，构建区域市场主体信息互认、交易系统联通共享、评标专家资源共享等联动保障机制。</w:t>
      </w:r>
    </w:p>
    <w:p>
      <w:pPr>
        <w:pStyle w:val="Normal"/>
        <w:ind w:endChars="0" w:end="0"/>
        <w:rPr>
          <w:spacing w:val="0"/>
          <w:shd w:fill="FFFFFF" w:val="clear"/>
        </w:rPr>
      </w:pPr>
      <w:r>
        <w:rPr>
          <w:rFonts w:cs="黑体" w:hint="eastAsia" w:eastAsia="黑体"/>
          <w:spacing w:val="0"/>
          <w:shd w:fill="FFFFFF" w:val="clear"/>
        </w:rPr>
        <w:t>第三十条</w:t>
      </w:r>
      <w:r>
        <w:rPr>
          <w:spacing w:val="0"/>
          <w:shd w:fill="FFFFFF" w:val="clear"/>
        </w:rPr>
        <w:t xml:space="preserve">  </w:t>
      </w:r>
      <w:r>
        <w:rPr>
          <w:rFonts w:hint="eastAsia"/>
          <w:spacing w:val="0"/>
          <w:shd w:fill="FFFFFF" w:val="clear"/>
        </w:rPr>
        <w:t>全面推行供水、供电、供气、供热等公用事业业务网上办理，在一体化在线政务服务平台开设服务专窗，优化流程、压减申报材料和办理时限。</w:t>
      </w:r>
    </w:p>
    <w:p>
      <w:pPr>
        <w:pStyle w:val="Style12"/>
        <w:widowControl w:val="false"/>
        <w:snapToGrid w:val="false"/>
        <w:spacing w:lineRule="exact" w:line="590" w:before="0" w:after="0"/>
        <w:ind w:firstLineChars="200" w:endChars="0" w:end="0"/>
        <w:jc w:val="both"/>
        <w:rPr>
          <w:rFonts w:ascii="Times New Roman" w:hAnsi="Times New Roman" w:eastAsia="黑体" w:cs="Times New Roman"/>
          <w:spacing w:val="0"/>
          <w:sz w:val="32"/>
        </w:rPr>
      </w:pPr>
      <w:r>
        <w:rPr>
          <w:rFonts w:ascii="Times New Roman" w:hAnsi="Times New Roman" w:cs="Times New Roman" w:hint="eastAsia" w:eastAsia="仿宋_GB2312"/>
          <w:spacing w:val="0"/>
          <w:sz w:val="32"/>
          <w:shd w:fill="FFFFFF" w:val="clear"/>
        </w:rPr>
        <w:t>公用事业单位应当推行服务标准化，确保服务标准公开透明，并提供相关延伸服务和一站式服务。公用事业单位应当对收费项目明码标价，并按照规定报送成本信息。不得强迫市场主体接受不合理的服务条件，不得以任何名义收取不合理的费用。</w:t>
      </w:r>
    </w:p>
    <w:p>
      <w:pPr>
        <w:pStyle w:val="Normal"/>
        <w:ind w:endChars="0" w:end="0"/>
        <w:rPr>
          <w:spacing w:val="0"/>
        </w:rPr>
      </w:pPr>
      <w:r>
        <w:rPr>
          <w:rFonts w:cs="黑体" w:hint="eastAsia" w:eastAsia="黑体"/>
          <w:spacing w:val="0"/>
        </w:rPr>
        <w:t>第三十一条</w:t>
      </w:r>
      <w:r>
        <w:rPr>
          <w:spacing w:val="0"/>
        </w:rPr>
        <w:t xml:space="preserve">  </w:t>
      </w:r>
      <w:r>
        <w:rPr>
          <w:rFonts w:hint="eastAsia"/>
          <w:spacing w:val="0"/>
        </w:rPr>
        <w:t>市、县级市（区）人民政府及其有关部门应当建立健全应急供应链智慧分级响应和联防联控机制，建设应急用工、物流与供应链协同调度平台，根据应急响应级别、国内国际市场动态和</w:t>
      </w:r>
      <w:r>
        <w:rPr>
          <w:rFonts w:hint="eastAsia"/>
          <w:spacing w:val="0"/>
          <w:shd w:fill="FFFFFF" w:val="clear"/>
        </w:rPr>
        <w:t>本行政区域</w:t>
      </w:r>
      <w:r>
        <w:rPr>
          <w:rFonts w:hint="eastAsia"/>
          <w:spacing w:val="0"/>
        </w:rPr>
        <w:t>产业结构优化升级需要，为市场主体提供人力资源、设施设备、供给需求、知识产权保护和政策信息等服务。</w:t>
      </w:r>
    </w:p>
    <w:p>
      <w:pPr>
        <w:pStyle w:val="Normal"/>
        <w:shd w:fill="FFFFFF" w:val="clear"/>
        <w:ind w:endChars="0" w:end="0"/>
        <w:rPr>
          <w:spacing w:val="0"/>
          <w:shd w:fill="FFFFFF" w:val="clear"/>
        </w:rPr>
      </w:pPr>
      <w:r>
        <w:rPr>
          <w:rFonts w:cs="黑体" w:hint="eastAsia" w:eastAsia="黑体"/>
          <w:spacing w:val="0"/>
          <w:shd w:fill="FFFFFF" w:val="clear"/>
        </w:rPr>
        <w:t>第三十二条</w:t>
      </w:r>
      <w:r>
        <w:rPr>
          <w:rFonts w:eastAsia="黑体"/>
          <w:spacing w:val="0"/>
          <w:shd w:fill="FFFFFF" w:val="clear"/>
        </w:rPr>
        <w:t xml:space="preserve"> </w:t>
      </w:r>
      <w:r>
        <w:rPr>
          <w:spacing w:val="0"/>
          <w:shd w:fill="FFFFFF" w:val="clear"/>
        </w:rPr>
        <w:t xml:space="preserve"> </w:t>
      </w:r>
      <w:r>
        <w:rPr>
          <w:rFonts w:hint="eastAsia"/>
          <w:spacing w:val="0"/>
          <w:shd w:fill="FFFFFF" w:val="clear"/>
        </w:rPr>
        <w:t>培育发展各类行业协会、商会。支持行业协会、商会加强行业自律，及时反映行业诉求，参与制定和推广实施符合高质量发展要求的行业发展标准、技术服务标准，为市场主体提供信息咨询、宣传培训、市场拓展、权益保护、纠纷处理以及人才评价等方面的服务。</w:t>
      </w:r>
    </w:p>
    <w:p>
      <w:pPr>
        <w:pStyle w:val="Normal"/>
        <w:shd w:fill="FFFFFF" w:val="clear"/>
        <w:ind w:endChars="0" w:end="0"/>
        <w:rPr>
          <w:rFonts w:hint="eastAsia"/>
          <w:spacing w:val="0"/>
          <w:shd w:fill="FFFFFF" w:val="clear"/>
        </w:rPr>
      </w:pPr>
      <w:r>
        <w:rPr>
          <w:rFonts w:hint="eastAsia"/>
          <w:spacing w:val="0"/>
          <w:shd w:fill="FFFFFF" w:val="clear"/>
        </w:rPr>
        <w:t>鼓励行业协会、商会充分运用市场主体维权服务平台，参与和支持市场主体维权。</w:t>
      </w:r>
    </w:p>
    <w:p>
      <w:pPr>
        <w:pStyle w:val="Normal"/>
        <w:shd w:fill="FFFFFF" w:val="clear"/>
        <w:ind w:endChars="0" w:end="0"/>
        <w:rPr>
          <w:rFonts w:hint="eastAsia"/>
          <w:spacing w:val="0"/>
          <w:shd w:fill="FFFFFF" w:val="clear"/>
        </w:rPr>
      </w:pPr>
      <w:r>
        <w:rPr>
          <w:rFonts w:hint="eastAsia"/>
          <w:spacing w:val="0"/>
          <w:shd w:fill="FFFFFF" w:val="clear"/>
        </w:rPr>
      </w:r>
    </w:p>
    <w:p>
      <w:pPr>
        <w:pStyle w:val="Normal"/>
        <w:ind w:firstLineChars="0" w:firstLine="0" w:endChars="0" w:end="0"/>
        <w:jc w:val="center"/>
        <w:rPr>
          <w:rFonts w:eastAsia="黑体"/>
          <w:spacing w:val="0"/>
        </w:rPr>
      </w:pPr>
      <w:r>
        <w:rPr>
          <w:rFonts w:cs="黑体" w:hint="eastAsia" w:eastAsia="黑体"/>
          <w:spacing w:val="0"/>
        </w:rPr>
        <w:t>第三章</w:t>
      </w:r>
      <w:r>
        <w:rPr>
          <w:rFonts w:eastAsia="黑体"/>
          <w:spacing w:val="0"/>
        </w:rPr>
        <w:t xml:space="preserve">  </w:t>
      </w:r>
      <w:r>
        <w:rPr>
          <w:rFonts w:cs="黑体" w:hint="eastAsia" w:eastAsia="黑体"/>
          <w:spacing w:val="0"/>
        </w:rPr>
        <w:t>政务环境</w:t>
      </w:r>
    </w:p>
    <w:p>
      <w:pPr>
        <w:pStyle w:val="Normal"/>
        <w:ind w:endChars="0" w:end="0"/>
        <w:rPr>
          <w:rFonts w:eastAsia="黑体" w:cs="黑体" w:hint="eastAsia"/>
          <w:spacing w:val="0"/>
        </w:rPr>
      </w:pPr>
      <w:r>
        <w:rPr>
          <w:rFonts w:eastAsia="黑体" w:cs="黑体" w:hint="eastAsia"/>
          <w:spacing w:val="0"/>
        </w:rPr>
      </w:r>
    </w:p>
    <w:p>
      <w:pPr>
        <w:pStyle w:val="Normal"/>
        <w:ind w:endChars="0" w:end="0"/>
        <w:rPr>
          <w:spacing w:val="0"/>
        </w:rPr>
      </w:pPr>
      <w:r>
        <w:rPr>
          <w:rFonts w:cs="黑体" w:hint="eastAsia" w:eastAsia="黑体"/>
          <w:spacing w:val="0"/>
        </w:rPr>
        <w:t>第三十三条</w:t>
      </w:r>
      <w:r>
        <w:rPr>
          <w:rFonts w:eastAsia="黑体"/>
          <w:spacing w:val="0"/>
        </w:rPr>
        <w:t xml:space="preserve"> </w:t>
      </w:r>
      <w:r>
        <w:rPr>
          <w:spacing w:val="0"/>
        </w:rPr>
        <w:t xml:space="preserve"> </w:t>
      </w:r>
      <w:r>
        <w:rPr>
          <w:rFonts w:hint="eastAsia"/>
          <w:spacing w:val="0"/>
        </w:rPr>
        <w:t>市、县级市（区）人民政府应当加强市场主体服务体系建设。建设法人服务总入口，推进一企一档一码建设，为市场主体提供全规模、全所有制、全生命周期的便利化服务。梳理公布惠企政策，完善市级惠企政策综合服务平台。推行惠企政策免申即享办理模式。</w:t>
      </w:r>
    </w:p>
    <w:p>
      <w:pPr>
        <w:pStyle w:val="Normal"/>
        <w:ind w:endChars="0" w:end="0"/>
        <w:rPr>
          <w:spacing w:val="0"/>
        </w:rPr>
      </w:pPr>
      <w:r>
        <w:rPr>
          <w:rFonts w:hint="eastAsia"/>
          <w:spacing w:val="0"/>
        </w:rPr>
        <w:t>鼓励县级市（区）人民政府建立企业发展服务机构，为企业提供综合政策、科技金融、人才创业等服务。</w:t>
      </w:r>
    </w:p>
    <w:p>
      <w:pPr>
        <w:pStyle w:val="Normal"/>
        <w:ind w:endChars="0" w:end="0"/>
        <w:rPr>
          <w:spacing w:val="0"/>
        </w:rPr>
      </w:pPr>
      <w:r>
        <w:rPr>
          <w:rFonts w:cs="黑体" w:hint="eastAsia" w:eastAsia="黑体"/>
          <w:spacing w:val="0"/>
          <w:shd w:fill="FFFFFF" w:val="clear"/>
        </w:rPr>
        <w:t>第三十四条</w:t>
      </w:r>
      <w:r>
        <w:rPr>
          <w:rFonts w:eastAsia="黑体"/>
          <w:spacing w:val="0"/>
          <w:shd w:fill="FFFFFF" w:val="clear"/>
        </w:rPr>
        <w:t xml:space="preserve"> </w:t>
      </w:r>
      <w:r>
        <w:rPr>
          <w:spacing w:val="0"/>
          <w:shd w:fill="FFFFFF" w:val="clear"/>
        </w:rPr>
        <w:t xml:space="preserve"> </w:t>
      </w:r>
      <w:r>
        <w:rPr>
          <w:rFonts w:hint="eastAsia"/>
          <w:spacing w:val="0"/>
          <w:shd w:fill="FFFFFF" w:val="clear"/>
        </w:rPr>
        <w:t>大数据管理机构应当建立政务信息资源归集、共享、交换和应用机制，建设一网通用的数字政府公共平台，促进和规范公共数据的共享、开放和利用。有关部门应当依法采集、核准、更新、共享政务信息，编制本部门政务信息资源目录，并做好数据安全保护工作。</w:t>
      </w:r>
    </w:p>
    <w:p>
      <w:pPr>
        <w:pStyle w:val="Normal"/>
        <w:shd w:fill="FFFFFF" w:val="clear"/>
        <w:ind w:endChars="0" w:end="0"/>
        <w:rPr>
          <w:spacing w:val="0"/>
          <w:shd w:fill="FFFFFF" w:val="clear"/>
        </w:rPr>
      </w:pPr>
      <w:r>
        <w:rPr>
          <w:rFonts w:hint="eastAsia"/>
          <w:spacing w:val="0"/>
          <w:shd w:fill="FFFFFF" w:val="clear"/>
        </w:rPr>
        <w:t>本市按照电子证照相关规定，建立健全电子证照归集和应用机制。公安部门应当会同有关部门建立统一的电子证照库。有关部门应当推广电子证照在工程建设、开办企业、不动产登记、公用事业服务等领域的应用。</w:t>
      </w:r>
    </w:p>
    <w:p>
      <w:pPr>
        <w:pStyle w:val="Normal"/>
        <w:shd w:fill="FFFFFF" w:val="clear"/>
        <w:ind w:endChars="0" w:end="0"/>
        <w:rPr>
          <w:spacing w:val="0"/>
          <w:shd w:fill="FFFFFF" w:val="clear"/>
        </w:rPr>
      </w:pPr>
      <w:r>
        <w:rPr>
          <w:rFonts w:hint="eastAsia"/>
          <w:spacing w:val="0"/>
          <w:shd w:fill="FFFFFF" w:val="clear"/>
        </w:rPr>
        <w:t>有关部门应当对纸质证照和电子证照实行同步签发、更新、注销。推行档案电子化，探索电子档案单套归档工作。电子证照与纸质证照、电子档案与纸质档案具有同等法律效力，但是法律、行政法规另有规定的除外。</w:t>
      </w:r>
    </w:p>
    <w:p>
      <w:pPr>
        <w:pStyle w:val="Normal"/>
        <w:shd w:fill="FFFFFF" w:val="clear"/>
        <w:ind w:endChars="0" w:end="0"/>
        <w:rPr>
          <w:spacing w:val="0"/>
          <w:shd w:fill="FFFFFF" w:val="clear"/>
        </w:rPr>
      </w:pPr>
      <w:r>
        <w:rPr>
          <w:rFonts w:hint="eastAsia"/>
          <w:spacing w:val="0"/>
          <w:shd w:fill="FFFFFF" w:val="clear"/>
        </w:rPr>
        <w:t>推进电子印章在政务服务等领域的应用，鼓励市场主体和社会组织在经济和社会活动中使用电子印章。</w:t>
      </w:r>
    </w:p>
    <w:p>
      <w:pPr>
        <w:pStyle w:val="Normal"/>
        <w:ind w:endChars="0" w:end="0"/>
        <w:rPr>
          <w:rFonts w:eastAsia="黑体"/>
          <w:spacing w:val="0"/>
        </w:rPr>
      </w:pPr>
      <w:r>
        <w:rPr>
          <w:rFonts w:cs="黑体" w:hint="eastAsia" w:eastAsia="黑体"/>
          <w:spacing w:val="0"/>
        </w:rPr>
        <w:t>第三十五条</w:t>
      </w:r>
      <w:r>
        <w:rPr>
          <w:rFonts w:eastAsia="黑体"/>
          <w:spacing w:val="0"/>
        </w:rPr>
        <w:t xml:space="preserve">  </w:t>
      </w:r>
      <w:r>
        <w:rPr>
          <w:rFonts w:hint="eastAsia"/>
          <w:spacing w:val="0"/>
          <w:shd w:fill="FFFFFF" w:val="clear"/>
        </w:rPr>
        <w:t>市、县级市（区）人民政府应当完善政务服务大厅建设，推进政务服务事项一窗受理、集成办理。政务服务大厅应当设置政务公开专区提供政务信息公开、查询、咨询等服务，配备服务终端机等自助设备方便申请人自助办理。</w:t>
      </w:r>
    </w:p>
    <w:p>
      <w:pPr>
        <w:pStyle w:val="Normal"/>
        <w:ind w:endChars="0" w:end="0"/>
        <w:rPr>
          <w:spacing w:val="0"/>
          <w:shd w:fill="FFFFFF" w:val="clear"/>
        </w:rPr>
      </w:pPr>
      <w:r>
        <w:rPr>
          <w:rFonts w:hint="eastAsia"/>
          <w:spacing w:val="0"/>
          <w:shd w:fill="FFFFFF" w:val="clear"/>
        </w:rPr>
        <w:t>各类政务服务和税费减免等事项，以及关联的公用事业服务</w:t>
      </w:r>
      <w:r>
        <w:rPr>
          <w:rFonts w:hint="eastAsia"/>
          <w:spacing w:val="-6"/>
          <w:szCs w:val="32"/>
          <w:shd w:fill="FFFFFF" w:val="clear"/>
        </w:rPr>
        <w:t>事项、行政事业性收费应当分级分类进驻政务服务大厅集中办理</w:t>
      </w:r>
      <w:r>
        <w:rPr>
          <w:rFonts w:hint="eastAsia"/>
          <w:spacing w:val="0"/>
          <w:shd w:fill="FFFFFF" w:val="clear"/>
        </w:rPr>
        <w:t>。</w:t>
      </w:r>
    </w:p>
    <w:p>
      <w:pPr>
        <w:pStyle w:val="Normal"/>
        <w:ind w:endChars="0" w:end="0"/>
        <w:rPr>
          <w:spacing w:val="0"/>
          <w:shd w:fill="FFFFFF" w:val="clear"/>
        </w:rPr>
      </w:pPr>
      <w:r>
        <w:rPr>
          <w:rFonts w:hint="eastAsia"/>
          <w:spacing w:val="0"/>
          <w:shd w:fill="FFFFFF" w:val="clear"/>
        </w:rPr>
        <w:t>鼓励在市场主体集聚、政务服务需求量大的产业载体、商务楼宇设立一站式政务服务站，为市场主体就近办事提供便利。</w:t>
      </w:r>
    </w:p>
    <w:p>
      <w:pPr>
        <w:pStyle w:val="Normal"/>
        <w:ind w:endChars="0" w:end="0"/>
        <w:rPr>
          <w:spacing w:val="0"/>
          <w:shd w:fill="FFFFFF" w:val="clear"/>
        </w:rPr>
      </w:pPr>
      <w:r>
        <w:rPr>
          <w:rFonts w:cs="黑体" w:hint="eastAsia" w:eastAsia="黑体"/>
          <w:spacing w:val="0"/>
          <w:shd w:fill="FFFFFF" w:val="clear"/>
        </w:rPr>
        <w:t>第三十六条</w:t>
      </w:r>
      <w:r>
        <w:rPr>
          <w:rFonts w:eastAsia="黑体"/>
          <w:spacing w:val="0"/>
          <w:shd w:fill="FFFFFF" w:val="clear"/>
        </w:rPr>
        <w:t xml:space="preserve">  </w:t>
      </w:r>
      <w:r>
        <w:rPr>
          <w:rFonts w:hint="eastAsia"/>
          <w:spacing w:val="0"/>
          <w:shd w:fill="FFFFFF" w:val="clear"/>
        </w:rPr>
        <w:t>按照标准统一、整体联动、业务协同的要求，推进县级市（区）政务服务平台与市级政务服务平台对接。按照省有关规定，推动市级政务服务平台与省级政务服务平台对接。</w:t>
      </w:r>
    </w:p>
    <w:p>
      <w:pPr>
        <w:pStyle w:val="Normal"/>
        <w:ind w:endChars="0" w:end="0"/>
        <w:rPr>
          <w:spacing w:val="0"/>
          <w:shd w:fill="FFFFFF" w:val="clear"/>
        </w:rPr>
      </w:pPr>
      <w:r>
        <w:rPr>
          <w:rFonts w:hint="eastAsia"/>
          <w:spacing w:val="0"/>
          <w:shd w:fill="FFFFFF" w:val="clear"/>
        </w:rPr>
        <w:t>政务服务事项应当按照国家和省有关规定纳入政务服务平台办理，实行一网通办，但是法律、法规另有规定的除外。</w:t>
      </w:r>
    </w:p>
    <w:p>
      <w:pPr>
        <w:pStyle w:val="Normal"/>
        <w:ind w:endChars="0" w:end="0"/>
        <w:rPr>
          <w:spacing w:val="0"/>
          <w:shd w:fill="FFFFFF" w:val="clear"/>
        </w:rPr>
      </w:pPr>
      <w:r>
        <w:rPr>
          <w:rFonts w:hint="eastAsia"/>
          <w:spacing w:val="0"/>
          <w:shd w:fill="FFFFFF" w:val="clear"/>
        </w:rPr>
        <w:t>行政审批等有关部门应当推动政务服务事项网上填报、提交和审查，对本级政府及其有关部门核发的材料免于提交、能够提供电子证照的免于提交实体证照、前端流程已经收取的材料不得要求重复提交。</w:t>
      </w:r>
    </w:p>
    <w:p>
      <w:pPr>
        <w:pStyle w:val="Normal"/>
        <w:ind w:endChars="0" w:end="0"/>
        <w:rPr>
          <w:spacing w:val="0"/>
          <w:shd w:fill="FFFFFF" w:val="clear"/>
        </w:rPr>
      </w:pPr>
      <w:r>
        <w:rPr>
          <w:rFonts w:hint="eastAsia"/>
          <w:spacing w:val="0"/>
          <w:shd w:fill="FFFFFF" w:val="clear"/>
        </w:rPr>
        <w:t>有关部门应当对与市场主体密切相关的重点领域和办件量较大的高频事项，逐步推出跨部门、跨行业、跨层级的一件事项目，在政务服务平台设置网上办事入口，实现一口申报、数据共享、协同办理、统一出件。</w:t>
      </w:r>
    </w:p>
    <w:p>
      <w:pPr>
        <w:pStyle w:val="Normal"/>
        <w:ind w:endChars="0" w:end="0"/>
        <w:rPr>
          <w:spacing w:val="0"/>
          <w:shd w:fill="FFFFFF" w:val="clear"/>
        </w:rPr>
      </w:pPr>
      <w:r>
        <w:rPr>
          <w:rFonts w:hint="eastAsia"/>
          <w:spacing w:val="0"/>
          <w:shd w:fill="FFFFFF" w:val="clear"/>
        </w:rPr>
        <w:t>探索人工智能辅助审批服务，提升审批效能。</w:t>
      </w:r>
    </w:p>
    <w:p>
      <w:pPr>
        <w:pStyle w:val="Normal"/>
        <w:ind w:endChars="0" w:end="0"/>
        <w:rPr>
          <w:spacing w:val="0"/>
        </w:rPr>
      </w:pPr>
      <w:r>
        <w:rPr>
          <w:rFonts w:cs="黑体" w:hint="eastAsia" w:eastAsia="黑体"/>
          <w:spacing w:val="0"/>
        </w:rPr>
        <w:t>第三十七条</w:t>
      </w:r>
      <w:r>
        <w:rPr>
          <w:rFonts w:eastAsia="黑体"/>
          <w:spacing w:val="0"/>
        </w:rPr>
        <w:t xml:space="preserve"> </w:t>
      </w:r>
      <w:r>
        <w:rPr>
          <w:spacing w:val="0"/>
        </w:rPr>
        <w:t xml:space="preserve"> </w:t>
      </w:r>
      <w:r>
        <w:rPr>
          <w:rFonts w:hint="eastAsia"/>
          <w:spacing w:val="0"/>
        </w:rPr>
        <w:t>有关部门应当在政府门户网站公布依法确需保留的证明事项清单，列明设定依据、索要单位、开具单位、办理指南等。新证明事项实施或者原有证明事项取消之日起七个工作日内，有关部门应当完成清单更新。</w:t>
      </w:r>
    </w:p>
    <w:p>
      <w:pPr>
        <w:pStyle w:val="Normal"/>
        <w:ind w:endChars="0" w:end="0"/>
        <w:rPr>
          <w:spacing w:val="0"/>
        </w:rPr>
      </w:pPr>
      <w:r>
        <w:rPr>
          <w:rFonts w:hint="eastAsia"/>
          <w:spacing w:val="0"/>
        </w:rPr>
        <w:t>按照国家和省有关规定，全面推行证明事项和涉企经营许可事项告知承诺制度。有关部门应当科学编制告知承诺工作流程和办事指南，并在本部门对外服务场所或者政务服务中心以及相关网站进行公布，方便申请人浏览、查阅、索取或者下载。</w:t>
      </w:r>
    </w:p>
    <w:p>
      <w:pPr>
        <w:pStyle w:val="Normal"/>
        <w:ind w:endChars="0" w:end="0"/>
        <w:rPr>
          <w:spacing w:val="0"/>
        </w:rPr>
      </w:pPr>
      <w:r>
        <w:rPr>
          <w:rFonts w:hint="eastAsia"/>
          <w:spacing w:val="0"/>
        </w:rPr>
        <w:t>有关部门应当在国家和省规定的期限内，对承诺人的承诺履行情况进行核查。在核查或者日常监管中发现故意隐瞒真实情况，提供虚假承诺的，有关部门应当依法终止办理、责令限期整改、撤销行政决定或者予以行政处罚，并按照规定纳入信用记录。构成犯罪的，依法移送司法机关。</w:t>
      </w:r>
    </w:p>
    <w:p>
      <w:pPr>
        <w:pStyle w:val="Normal"/>
        <w:ind w:endChars="0" w:end="0"/>
        <w:rPr>
          <w:spacing w:val="0"/>
        </w:rPr>
      </w:pPr>
      <w:r>
        <w:rPr>
          <w:rFonts w:cs="黑体" w:hint="eastAsia" w:eastAsia="黑体"/>
          <w:spacing w:val="0"/>
        </w:rPr>
        <w:t>第三十八条</w:t>
      </w:r>
      <w:r>
        <w:rPr>
          <w:rFonts w:eastAsia="黑体"/>
          <w:spacing w:val="0"/>
        </w:rPr>
        <w:t xml:space="preserve"> </w:t>
      </w:r>
      <w:r>
        <w:rPr>
          <w:spacing w:val="0"/>
        </w:rPr>
        <w:t xml:space="preserve"> </w:t>
      </w:r>
      <w:r>
        <w:rPr>
          <w:rFonts w:hint="eastAsia"/>
          <w:spacing w:val="0"/>
        </w:rPr>
        <w:t>在本市省级以上开发区、自由贸易试验区和其他有条件的区域实行区域评估，区域管理机构应当统筹组织对区域压覆重要矿产资源、地质灾害危险性、环境影响评价、文物资源等事项进行统一评估。区域评估费用由实施评估的区域管理机构承担。</w:t>
      </w:r>
    </w:p>
    <w:p>
      <w:pPr>
        <w:pStyle w:val="Normal"/>
        <w:ind w:endChars="0" w:end="0"/>
        <w:rPr>
          <w:spacing w:val="0"/>
        </w:rPr>
      </w:pPr>
      <w:r>
        <w:rPr>
          <w:rFonts w:hint="eastAsia"/>
          <w:spacing w:val="0"/>
        </w:rPr>
        <w:t>已经实施区域评估的，评估结果应当向社会公开，由区域内市场主体免费共享，不再对市场主体提出单独评估要求，但是法律、法规另有规定的除外。</w:t>
      </w:r>
    </w:p>
    <w:p>
      <w:pPr>
        <w:pStyle w:val="Normal"/>
        <w:ind w:endChars="0" w:end="0"/>
        <w:rPr>
          <w:spacing w:val="0"/>
        </w:rPr>
      </w:pPr>
      <w:r>
        <w:rPr>
          <w:rFonts w:cs="黑体" w:hint="eastAsia" w:eastAsia="黑体"/>
          <w:spacing w:val="0"/>
        </w:rPr>
        <w:t>第三十九条</w:t>
      </w:r>
      <w:r>
        <w:rPr>
          <w:rFonts w:eastAsia="黑体"/>
          <w:spacing w:val="0"/>
        </w:rPr>
        <w:t xml:space="preserve">  </w:t>
      </w:r>
      <w:r>
        <w:rPr>
          <w:rFonts w:hint="eastAsia"/>
          <w:spacing w:val="0"/>
        </w:rPr>
        <w:t>全面推行工程建设项目分级分类管理。发展和改革、自然资源和规划、住房和城乡建设、交通运输、行政审批等部门应当根据项目性质、投资规模、风险程度等，分别制定审批流程图，明确审批事项、审批时限及申报材料清单，推行工程建设项目联合审批、多图一审、联合验收。完善工程建设项目审批管理系统，推进工程建设项目审批管理系统与投资审批、规划、消防等管理系统数据实时共享，实现信息一次填报、材料一次上传、相关评审意见和审批结果即时推送。</w:t>
      </w:r>
    </w:p>
    <w:p>
      <w:pPr>
        <w:pStyle w:val="Normal"/>
        <w:ind w:endChars="0" w:end="0"/>
        <w:rPr>
          <w:b/>
          <w:bCs/>
          <w:spacing w:val="0"/>
          <w:sz w:val="28"/>
          <w:szCs w:val="28"/>
        </w:rPr>
      </w:pPr>
      <w:r>
        <w:rPr>
          <w:rFonts w:hint="eastAsia"/>
          <w:spacing w:val="0"/>
        </w:rPr>
        <w:t>探索桩基工程和主体工程施工许可分阶段办理，房屋建筑工程的建设单位依法确定总承包单位，承诺自愿承担规划变更或者设计方案调整风险并依法建设的，取得桩基工程施工图设计文件审查意见后，可以申请桩基施工许可。</w:t>
      </w:r>
    </w:p>
    <w:p>
      <w:pPr>
        <w:pStyle w:val="Normal"/>
        <w:ind w:endChars="0" w:end="0"/>
        <w:rPr>
          <w:spacing w:val="0"/>
        </w:rPr>
      </w:pPr>
      <w:r>
        <w:rPr>
          <w:rFonts w:hint="eastAsia"/>
          <w:spacing w:val="0"/>
        </w:rPr>
        <w:t>根据施工图审查改革规定，依照法定程序报经同意后，实行免审承诺制。对已经作出施工图免审承诺的项目，不需要施工图审查合格证明就可以办理施工许可证。</w:t>
      </w:r>
    </w:p>
    <w:p>
      <w:pPr>
        <w:pStyle w:val="Normal"/>
        <w:ind w:endChars="0" w:end="0"/>
        <w:rPr>
          <w:spacing w:val="0"/>
        </w:rPr>
      </w:pPr>
      <w:r>
        <w:rPr>
          <w:rFonts w:hint="eastAsia"/>
          <w:spacing w:val="0"/>
        </w:rPr>
        <w:t>对带方案挂牌出让地块和有意向单位的产业用地，探索推动项目建设条件核实与固定资产投资项目节能审查等评估评价工</w:t>
      </w:r>
      <w:r>
        <w:rPr>
          <w:rFonts w:hint="eastAsia"/>
          <w:spacing w:val="-6"/>
          <w:szCs w:val="32"/>
        </w:rPr>
        <w:t>作并行开展，同步落实建设条件和管控要求，推进拿地即开工工作</w:t>
      </w:r>
      <w:r>
        <w:rPr>
          <w:rFonts w:hint="eastAsia"/>
          <w:spacing w:val="0"/>
        </w:rPr>
        <w:t>。</w:t>
      </w:r>
    </w:p>
    <w:p>
      <w:pPr>
        <w:pStyle w:val="Normal"/>
        <w:ind w:endChars="0" w:end="0"/>
        <w:rPr>
          <w:spacing w:val="0"/>
        </w:rPr>
      </w:pPr>
      <w:r>
        <w:rPr>
          <w:rFonts w:hint="eastAsia"/>
          <w:spacing w:val="0"/>
        </w:rPr>
        <w:t>对重大工程建设项目中不影响安全和公共利益的非关键要件，在审批流程中探索试行容缺后补机制，允许市场主体在竣工验收备案前补齐相关材料。对社会投资的小型低风险工程建设项目，可以合并办理建设工程规划许可和施工许可，全流程审批时间不超过十个工作日。</w:t>
      </w:r>
    </w:p>
    <w:p>
      <w:pPr>
        <w:pStyle w:val="Normal"/>
        <w:shd w:fill="FFFFFF" w:val="clear"/>
        <w:ind w:endChars="0" w:end="0"/>
        <w:rPr>
          <w:spacing w:val="0"/>
        </w:rPr>
      </w:pPr>
      <w:r>
        <w:rPr>
          <w:rFonts w:cs="黑体" w:hint="eastAsia" w:eastAsia="黑体"/>
          <w:spacing w:val="0"/>
          <w:shd w:fill="FFFFFF" w:val="clear"/>
        </w:rPr>
        <w:t>第四十条</w:t>
      </w:r>
      <w:r>
        <w:rPr>
          <w:rFonts w:eastAsia="黑体"/>
          <w:spacing w:val="0"/>
          <w:shd w:fill="FFFFFF" w:val="clear"/>
        </w:rPr>
        <w:t xml:space="preserve">  </w:t>
      </w:r>
      <w:r>
        <w:rPr>
          <w:rFonts w:hint="eastAsia"/>
          <w:spacing w:val="0"/>
        </w:rPr>
        <w:t>税务机关应当优化办税缴费流程，精简办税资料，减轻办税缴费负担。拓展网上、移动、邮寄、自助等服务方式，推广使用电子发票和全程网上办税。依法推进相关税费综合申报，压减纳税缴费次数和时间。推动税费业务智能化服务。</w:t>
      </w:r>
    </w:p>
    <w:p>
      <w:pPr>
        <w:pStyle w:val="Normal"/>
        <w:shd w:fill="FFFFFF" w:val="clear"/>
        <w:ind w:endChars="0" w:end="0"/>
        <w:rPr>
          <w:spacing w:val="0"/>
        </w:rPr>
      </w:pPr>
      <w:r>
        <w:rPr>
          <w:rFonts w:hint="eastAsia"/>
          <w:spacing w:val="0"/>
        </w:rPr>
        <w:t>深化大数据分析和应用，综合采取多种方式，加大政策宣传和辅导力度，落实各项税费优惠政策。</w:t>
      </w:r>
    </w:p>
    <w:p>
      <w:pPr>
        <w:pStyle w:val="Normal"/>
        <w:ind w:endChars="0" w:end="0"/>
        <w:rPr>
          <w:spacing w:val="0"/>
        </w:rPr>
      </w:pPr>
      <w:r>
        <w:rPr>
          <w:rFonts w:cs="黑体" w:hint="eastAsia" w:eastAsia="黑体"/>
          <w:spacing w:val="0"/>
        </w:rPr>
        <w:t>第四十一条</w:t>
      </w:r>
      <w:r>
        <w:rPr>
          <w:rFonts w:eastAsia="黑体"/>
          <w:spacing w:val="0"/>
        </w:rPr>
        <w:t xml:space="preserve"> </w:t>
      </w:r>
      <w:r>
        <w:rPr>
          <w:spacing w:val="0"/>
        </w:rPr>
        <w:t xml:space="preserve"> </w:t>
      </w:r>
      <w:r>
        <w:rPr>
          <w:rFonts w:hint="eastAsia"/>
          <w:spacing w:val="0"/>
        </w:rPr>
        <w:t>海关、商务、交通运输等部门应当根据国家有关规定优化通关流程，完善企业提前申报、两步申报等模式，深化申报容错机制和主动披露容错机制，积极推广各类便利化口岸通关措施。按照有关规定推行汇总征税、自报自缴、关税保证保险、先放后检等模式。优化监管流程，加快时效性商品通关速度。对接长三角区域一体化发展，优化联运中转监管模式，推行监管一体化作业。</w:t>
      </w:r>
    </w:p>
    <w:p>
      <w:pPr>
        <w:pStyle w:val="Normal"/>
        <w:ind w:endChars="0" w:end="0"/>
        <w:rPr>
          <w:spacing w:val="0"/>
        </w:rPr>
      </w:pPr>
      <w:r>
        <w:rPr>
          <w:rFonts w:hint="eastAsia"/>
          <w:spacing w:val="0"/>
        </w:rPr>
        <w:t>持续推广国际贸易单一窗口运用，推动货物申报、舱单申报、运输工具申报、跨境电商、市场采购、国际会展等相关业务通过国际贸易单一窗口办理。推进进出口企业、船运公司、船务代理、货运代理等不同主体之间的合作对接和信息共享，推动口岸“通关</w:t>
      </w:r>
      <w:r>
        <w:rPr>
          <w:spacing w:val="0"/>
        </w:rPr>
        <w:t>+</w:t>
      </w:r>
      <w:r>
        <w:rPr>
          <w:rFonts w:hint="eastAsia"/>
          <w:spacing w:val="0"/>
        </w:rPr>
        <w:t>物流”的一体化服务联动。</w:t>
      </w:r>
    </w:p>
    <w:p>
      <w:pPr>
        <w:pStyle w:val="Normal"/>
        <w:ind w:endChars="0" w:end="0"/>
        <w:rPr>
          <w:spacing w:val="0"/>
        </w:rPr>
      </w:pPr>
      <w:r>
        <w:rPr>
          <w:rFonts w:cs="黑体" w:hint="eastAsia" w:eastAsia="黑体"/>
          <w:spacing w:val="0"/>
        </w:rPr>
        <w:t>第四十二条</w:t>
      </w:r>
      <w:r>
        <w:rPr>
          <w:spacing w:val="0"/>
        </w:rPr>
        <w:t xml:space="preserve">  </w:t>
      </w:r>
      <w:r>
        <w:rPr>
          <w:rFonts w:hint="eastAsia"/>
          <w:spacing w:val="0"/>
        </w:rPr>
        <w:t>不动产登记机构应当提供网上登记服务，并与有关部门加强业务协同、数据共享，推动交易、纳税、登记全流程网上办理。全市不动产抵押登记全程网上办在二个工作日内办结。</w:t>
      </w:r>
    </w:p>
    <w:p>
      <w:pPr>
        <w:pStyle w:val="Normal"/>
        <w:shd w:fill="FFFFFF" w:val="clear"/>
        <w:ind w:endChars="0" w:end="0"/>
        <w:rPr>
          <w:spacing w:val="0"/>
        </w:rPr>
      </w:pPr>
      <w:r>
        <w:rPr>
          <w:rFonts w:hint="eastAsia"/>
          <w:spacing w:val="0"/>
        </w:rPr>
        <w:t>鼓励在金融机构、公积金管理中心等场所设立不动产登记便民服务办理点，提供办理不动产抵押权登记等服务。</w:t>
      </w:r>
    </w:p>
    <w:p>
      <w:pPr>
        <w:pStyle w:val="Normal"/>
        <w:ind w:endChars="0" w:end="0"/>
        <w:rPr>
          <w:spacing w:val="0"/>
        </w:rPr>
      </w:pPr>
      <w:r>
        <w:rPr>
          <w:rFonts w:hint="eastAsia"/>
          <w:spacing w:val="0"/>
        </w:rPr>
        <w:t>不动产登记机构办理不动产转移登记，应当统一收取房屋交易、税费申报和不动产登记所需全部材料，实现一窗受理、集成办理。不动产登记机构应当与公用事业单位加强协作，逐步实现公用事业业务与不动产登记同步办理。</w:t>
      </w:r>
    </w:p>
    <w:p>
      <w:pPr>
        <w:pStyle w:val="Normal"/>
        <w:shd w:fill="FFFFFF" w:val="clear"/>
        <w:ind w:endChars="0" w:end="0"/>
        <w:rPr>
          <w:spacing w:val="0"/>
        </w:rPr>
      </w:pPr>
      <w:r>
        <w:rPr>
          <w:rFonts w:cs="黑体" w:hint="eastAsia" w:eastAsia="黑体"/>
          <w:spacing w:val="0"/>
          <w:shd w:fill="FFFFFF" w:val="clear"/>
        </w:rPr>
        <w:t>第四十三条</w:t>
      </w:r>
      <w:r>
        <w:rPr>
          <w:rFonts w:eastAsia="黑体"/>
          <w:spacing w:val="0"/>
          <w:shd w:fill="FFFFFF" w:val="clear"/>
        </w:rPr>
        <w:t xml:space="preserve"> </w:t>
      </w:r>
      <w:r>
        <w:rPr>
          <w:spacing w:val="0"/>
        </w:rPr>
        <w:t xml:space="preserve"> </w:t>
      </w:r>
      <w:r>
        <w:rPr>
          <w:rFonts w:hint="eastAsia"/>
          <w:spacing w:val="0"/>
        </w:rPr>
        <w:t>本市各级人民政府和有关部门应当支持中介服务机构发展，加强中介服务收费监管和信用监管，规范中介服务机构及其从业人员执业行为。</w:t>
      </w:r>
    </w:p>
    <w:p>
      <w:pPr>
        <w:pStyle w:val="Normal"/>
        <w:shd w:fill="FFFFFF" w:val="clear"/>
        <w:ind w:endChars="0" w:end="0"/>
        <w:rPr>
          <w:spacing w:val="0"/>
        </w:rPr>
      </w:pPr>
      <w:r>
        <w:rPr>
          <w:rFonts w:hint="eastAsia"/>
          <w:spacing w:val="0"/>
        </w:rPr>
        <w:t>行政审批部门应当会同有关部门完善中介服务机构超市平台，编制行政审批中介服务事项清单并实行动态管理。</w:t>
      </w:r>
    </w:p>
    <w:p>
      <w:pPr>
        <w:pStyle w:val="Normal"/>
        <w:shd w:fill="FFFFFF" w:val="clear"/>
        <w:ind w:endChars="0" w:end="0"/>
        <w:rPr>
          <w:rFonts w:hint="eastAsia"/>
          <w:spacing w:val="0"/>
        </w:rPr>
      </w:pPr>
      <w:r>
        <w:rPr>
          <w:rFonts w:hint="eastAsia"/>
          <w:spacing w:val="0"/>
        </w:rPr>
        <w:t>中介服务机构应当明确办理法定行政审批中介服务的条件、流程、时限、收费标准，并向社会公开。</w:t>
      </w:r>
    </w:p>
    <w:p>
      <w:pPr>
        <w:pStyle w:val="Style15"/>
        <w:ind w:endChars="0" w:end="0"/>
        <w:rPr>
          <w:rFonts w:hint="eastAsia"/>
          <w:spacing w:val="0"/>
        </w:rPr>
      </w:pPr>
      <w:r>
        <w:rPr>
          <w:rFonts w:hint="eastAsia"/>
          <w:spacing w:val="0"/>
        </w:rPr>
      </w:r>
    </w:p>
    <w:p>
      <w:pPr>
        <w:pStyle w:val="Normal"/>
        <w:ind w:firstLineChars="0" w:firstLine="0" w:endChars="0" w:end="0"/>
        <w:jc w:val="center"/>
        <w:rPr>
          <w:rFonts w:eastAsia="黑体"/>
          <w:spacing w:val="0"/>
        </w:rPr>
      </w:pPr>
      <w:r>
        <w:rPr>
          <w:rFonts w:cs="黑体" w:hint="eastAsia" w:eastAsia="黑体"/>
          <w:spacing w:val="0"/>
        </w:rPr>
        <w:t>第四章</w:t>
      </w:r>
      <w:r>
        <w:rPr>
          <w:rFonts w:eastAsia="黑体"/>
          <w:spacing w:val="0"/>
        </w:rPr>
        <w:t xml:space="preserve">  </w:t>
      </w:r>
      <w:r>
        <w:rPr>
          <w:rFonts w:cs="黑体" w:hint="eastAsia" w:eastAsia="黑体"/>
          <w:spacing w:val="0"/>
        </w:rPr>
        <w:t>人文环境</w:t>
      </w:r>
    </w:p>
    <w:p>
      <w:pPr>
        <w:pStyle w:val="Normal"/>
        <w:ind w:endChars="0" w:end="0"/>
        <w:rPr>
          <w:rFonts w:eastAsia="黑体" w:cs="黑体" w:hint="eastAsia"/>
          <w:spacing w:val="0"/>
        </w:rPr>
      </w:pPr>
      <w:r>
        <w:rPr>
          <w:rFonts w:eastAsia="黑体" w:cs="黑体" w:hint="eastAsia"/>
          <w:spacing w:val="0"/>
        </w:rPr>
      </w:r>
    </w:p>
    <w:p>
      <w:pPr>
        <w:pStyle w:val="Normal"/>
        <w:ind w:endChars="0" w:end="0"/>
        <w:rPr>
          <w:spacing w:val="0"/>
        </w:rPr>
      </w:pPr>
      <w:r>
        <w:rPr>
          <w:rFonts w:cs="黑体" w:hint="eastAsia" w:eastAsia="黑体"/>
          <w:spacing w:val="0"/>
        </w:rPr>
        <w:t>第四十四条</w:t>
      </w:r>
      <w:r>
        <w:rPr>
          <w:rFonts w:eastAsia="黑体"/>
          <w:spacing w:val="0"/>
        </w:rPr>
        <w:t xml:space="preserve">  </w:t>
      </w:r>
      <w:r>
        <w:rPr>
          <w:rFonts w:hint="eastAsia"/>
          <w:spacing w:val="0"/>
        </w:rPr>
        <w:t>弘扬苏州城市精神，发扬张家港精神、昆山之路、园区经验的创业干事时代精神，推动优秀传统文化创造性转化、创新性发展，营造鼓励创新创业和亲商安商的氛围。</w:t>
      </w:r>
    </w:p>
    <w:p>
      <w:pPr>
        <w:pStyle w:val="Normal"/>
        <w:ind w:endChars="0" w:end="0"/>
        <w:rPr>
          <w:spacing w:val="0"/>
        </w:rPr>
      </w:pPr>
      <w:r>
        <w:rPr>
          <w:rFonts w:hint="eastAsia"/>
          <w:spacing w:val="0"/>
        </w:rPr>
        <w:t>本市各级人民政府和有关部门应当加强对苏州园林、中国大运河苏州段等世界文化遗产的保护和发掘力度，传承和弘扬昆曲、评弹、苏工苏作等非物质文化遗产，丰富文化产品和服务，深化文旅融合和开发，打造特色鲜明的江南文化城市品牌，进一步提升苏州文化软实力。</w:t>
      </w:r>
    </w:p>
    <w:p>
      <w:pPr>
        <w:pStyle w:val="Normal"/>
        <w:ind w:endChars="0" w:end="0"/>
        <w:rPr>
          <w:spacing w:val="0"/>
          <w:shd w:fill="FFFFFF" w:val="clear"/>
        </w:rPr>
      </w:pPr>
      <w:r>
        <w:rPr>
          <w:rFonts w:cs="黑体" w:hint="eastAsia" w:eastAsia="黑体"/>
          <w:spacing w:val="0"/>
        </w:rPr>
        <w:t>第四十五条</w:t>
      </w:r>
      <w:r>
        <w:rPr>
          <w:rFonts w:eastAsia="黑体"/>
          <w:spacing w:val="0"/>
        </w:rPr>
        <w:t xml:space="preserve">  </w:t>
      </w:r>
      <w:r>
        <w:rPr>
          <w:rFonts w:hint="eastAsia"/>
          <w:spacing w:val="0"/>
          <w:shd w:fill="FFFFFF" w:val="clear"/>
        </w:rPr>
        <w:t>本市各级人民政府和有关部门应当构建亲清新型政商关系，建立常态高效的市场主体意见征集机制，采用多种方式及时倾听和回应市场主体的合理反映和诉求，依法帮助市场主体协调解决生产经营中遇到的困难和问题。</w:t>
      </w:r>
    </w:p>
    <w:p>
      <w:pPr>
        <w:pStyle w:val="Normal"/>
        <w:ind w:endChars="0" w:end="0"/>
        <w:rPr>
          <w:spacing w:val="0"/>
        </w:rPr>
      </w:pPr>
      <w:r>
        <w:rPr>
          <w:rFonts w:hint="eastAsia"/>
          <w:spacing w:val="0"/>
          <w:shd w:fill="FFFFFF" w:val="clear"/>
        </w:rPr>
        <w:t>创新政企沟通机制，建立政府重大经济决策主动向</w:t>
      </w:r>
      <w:r>
        <w:rPr>
          <w:rFonts w:hint="eastAsia"/>
          <w:spacing w:val="0"/>
        </w:rPr>
        <w:t>企业家问计求策的规范性程序，健全企业家参与涉企政策制定协</w:t>
      </w:r>
      <w:r>
        <w:rPr>
          <w:rFonts w:hint="eastAsia"/>
          <w:spacing w:val="0"/>
          <w:shd w:fill="FFFFFF" w:val="clear"/>
        </w:rPr>
        <w:t>商、听证</w:t>
      </w:r>
      <w:r>
        <w:rPr>
          <w:rFonts w:hint="eastAsia"/>
          <w:spacing w:val="0"/>
        </w:rPr>
        <w:t>机制，畅通政商</w:t>
      </w:r>
      <w:r>
        <w:rPr>
          <w:rFonts w:hint="eastAsia"/>
          <w:spacing w:val="0"/>
          <w:shd w:fill="FFFFFF" w:val="clear"/>
        </w:rPr>
        <w:t>信息交流快捷渠道。不得干扰市场主体正常生产经营活动，不得违法增加市场主体负担。</w:t>
      </w:r>
    </w:p>
    <w:p>
      <w:pPr>
        <w:pStyle w:val="Normal"/>
        <w:ind w:endChars="0" w:end="0"/>
        <w:rPr>
          <w:spacing w:val="0"/>
        </w:rPr>
      </w:pPr>
      <w:r>
        <w:rPr>
          <w:rFonts w:cs="黑体" w:hint="eastAsia" w:eastAsia="黑体"/>
          <w:spacing w:val="0"/>
        </w:rPr>
        <w:t>第四十六条</w:t>
      </w:r>
      <w:r>
        <w:rPr>
          <w:rFonts w:eastAsia="黑体"/>
          <w:spacing w:val="0"/>
        </w:rPr>
        <w:t xml:space="preserve">  </w:t>
      </w:r>
      <w:r>
        <w:rPr>
          <w:rFonts w:hint="eastAsia"/>
          <w:spacing w:val="0"/>
          <w:shd w:fill="FFFFFF" w:val="clear"/>
        </w:rPr>
        <w:t>本市各级人民政府和有关部门应当做好营商环境舆情收集和回应工作，对</w:t>
      </w:r>
      <w:r>
        <w:rPr>
          <w:rFonts w:hint="eastAsia"/>
          <w:spacing w:val="0"/>
        </w:rPr>
        <w:t>于在舆情中暴露的损害营商环境的行为及时调查处理，并向社会公开调查处理结果。</w:t>
      </w:r>
    </w:p>
    <w:p>
      <w:pPr>
        <w:pStyle w:val="Normal"/>
        <w:ind w:endChars="0" w:end="0"/>
        <w:rPr>
          <w:spacing w:val="0"/>
        </w:rPr>
      </w:pPr>
      <w:r>
        <w:rPr>
          <w:rFonts w:hint="eastAsia"/>
          <w:spacing w:val="0"/>
        </w:rPr>
        <w:t>完善</w:t>
      </w:r>
      <w:r>
        <w:rPr>
          <w:spacing w:val="0"/>
        </w:rPr>
        <w:t>12345</w:t>
      </w:r>
      <w:r>
        <w:rPr>
          <w:rFonts w:hint="eastAsia"/>
          <w:spacing w:val="0"/>
          <w:shd w:fill="FFFFFF" w:val="clear"/>
        </w:rPr>
        <w:t>政务服务热线，实行</w:t>
      </w:r>
      <w:r>
        <w:rPr>
          <w:rFonts w:hint="eastAsia"/>
          <w:spacing w:val="0"/>
        </w:rPr>
        <w:t>统一接听、按责转办、限时办结、统一监督、统一考核。</w:t>
      </w:r>
    </w:p>
    <w:p>
      <w:pPr>
        <w:pStyle w:val="Normal"/>
        <w:ind w:endChars="0" w:end="0"/>
        <w:rPr>
          <w:spacing w:val="0"/>
        </w:rPr>
      </w:pPr>
      <w:r>
        <w:rPr>
          <w:rFonts w:cs="黑体" w:hint="eastAsia" w:eastAsia="黑体"/>
          <w:spacing w:val="0"/>
        </w:rPr>
        <w:t>第四十七条</w:t>
      </w:r>
      <w:r>
        <w:rPr>
          <w:rFonts w:eastAsia="黑体"/>
          <w:spacing w:val="0"/>
        </w:rPr>
        <w:t xml:space="preserve">  </w:t>
      </w:r>
      <w:r>
        <w:rPr>
          <w:rFonts w:hint="eastAsia"/>
          <w:spacing w:val="0"/>
        </w:rPr>
        <w:t>践行绿水青山就是金山银山理念，严守生态保护红线，严格实行生态空间管控，加强水、土壤、大气污染防治，推进生态修复，持续改善水环境和土壤、空气质量，提升美丽苏州建设新形象。</w:t>
      </w:r>
    </w:p>
    <w:p>
      <w:pPr>
        <w:pStyle w:val="Normal"/>
        <w:ind w:endChars="0" w:end="0"/>
        <w:rPr>
          <w:spacing w:val="0"/>
        </w:rPr>
      </w:pPr>
      <w:r>
        <w:rPr>
          <w:rFonts w:hint="eastAsia"/>
          <w:spacing w:val="0"/>
        </w:rPr>
        <w:t>市、县级市（区）人民政府应当编制并严格执行生态环境保护规划，打造国家生态文明建设示范区、世界级湖区和太湖生态岛，提升生态环境竞争力，建设更高水平的生态之城，推动生态优势转化为发展优势，打造适宜人居和创新创业的环境。</w:t>
      </w:r>
    </w:p>
    <w:p>
      <w:pPr>
        <w:pStyle w:val="Normal"/>
        <w:ind w:endChars="0" w:end="0"/>
        <w:rPr>
          <w:spacing w:val="0"/>
        </w:rPr>
      </w:pPr>
      <w:r>
        <w:rPr>
          <w:rFonts w:cs="黑体" w:hint="eastAsia" w:eastAsia="黑体"/>
          <w:spacing w:val="0"/>
        </w:rPr>
        <w:t>第四十八条</w:t>
      </w:r>
      <w:r>
        <w:rPr>
          <w:rFonts w:eastAsia="黑体"/>
          <w:spacing w:val="0"/>
        </w:rPr>
        <w:t xml:space="preserve">  </w:t>
      </w:r>
      <w:r>
        <w:rPr>
          <w:rFonts w:hint="eastAsia"/>
          <w:spacing w:val="0"/>
        </w:rPr>
        <w:t>市、县级市（区）人民政府应当根据本行政区域人口、经济发展水平，合理设置教育、医疗、养老和托幼等机构，提高公共服务水平。</w:t>
      </w:r>
    </w:p>
    <w:p>
      <w:pPr>
        <w:pStyle w:val="Normal"/>
        <w:ind w:endChars="0" w:end="0"/>
        <w:rPr>
          <w:spacing w:val="0"/>
        </w:rPr>
      </w:pPr>
      <w:r>
        <w:rPr>
          <w:rFonts w:hint="eastAsia"/>
          <w:spacing w:val="0"/>
        </w:rPr>
        <w:t>加强与国内外高端资源的嫁接融合，引入优质教育、医疗</w:t>
      </w:r>
      <w:r>
        <w:rPr>
          <w:rFonts w:cs="黑体" w:hint="eastAsia" w:eastAsia="黑体"/>
          <w:spacing w:val="0"/>
        </w:rPr>
        <w:t>、</w:t>
      </w:r>
      <w:r>
        <w:rPr>
          <w:rFonts w:hint="eastAsia"/>
          <w:spacing w:val="0"/>
        </w:rPr>
        <w:t>养老等机构，积极推进长三角区域公共服务一体化。</w:t>
      </w:r>
    </w:p>
    <w:p>
      <w:pPr>
        <w:pStyle w:val="Normal"/>
        <w:ind w:endChars="0" w:end="0"/>
        <w:rPr>
          <w:spacing w:val="0"/>
        </w:rPr>
      </w:pPr>
      <w:r>
        <w:rPr>
          <w:rFonts w:hint="eastAsia"/>
          <w:spacing w:val="0"/>
        </w:rPr>
        <w:t>健全住房市场体系和住房保障体系，统筹考虑公共配套，改善居住条件</w:t>
      </w:r>
      <w:r>
        <w:rPr>
          <w:rFonts w:cs="黑体" w:hint="eastAsia" w:eastAsia="黑体"/>
          <w:spacing w:val="0"/>
        </w:rPr>
        <w:t>。</w:t>
      </w:r>
      <w:r>
        <w:rPr>
          <w:rFonts w:hint="eastAsia"/>
          <w:spacing w:val="0"/>
        </w:rPr>
        <w:t>鼓励社会资本参与住房保障项目的建设、筹集、运营和管理。</w:t>
      </w:r>
    </w:p>
    <w:p>
      <w:pPr>
        <w:pStyle w:val="Normal"/>
        <w:ind w:endChars="0" w:end="0"/>
        <w:rPr>
          <w:spacing w:val="0"/>
        </w:rPr>
      </w:pPr>
      <w:r>
        <w:rPr>
          <w:rFonts w:hint="eastAsia"/>
          <w:spacing w:val="0"/>
        </w:rPr>
        <w:t>完善综合交通基础设施布局，加快构建现代开放综合立体交通运输体系，推动绿色交通发展，提升交通运输质量、效率、安全度、便捷度。推动交通运输的市域统筹化、沪苏同城化和长三角一体化。</w:t>
      </w:r>
    </w:p>
    <w:p>
      <w:pPr>
        <w:pStyle w:val="Normal"/>
        <w:ind w:endChars="0" w:end="0"/>
        <w:rPr>
          <w:spacing w:val="0"/>
        </w:rPr>
      </w:pPr>
      <w:r>
        <w:rPr>
          <w:rFonts w:cs="黑体" w:hint="eastAsia" w:eastAsia="黑体"/>
          <w:spacing w:val="0"/>
        </w:rPr>
        <w:t>第四十九条</w:t>
      </w:r>
      <w:r>
        <w:rPr>
          <w:rFonts w:eastAsia="黑体"/>
          <w:spacing w:val="0"/>
        </w:rPr>
        <w:t xml:space="preserve">  </w:t>
      </w:r>
      <w:r>
        <w:rPr>
          <w:rFonts w:hint="eastAsia"/>
          <w:spacing w:val="0"/>
        </w:rPr>
        <w:t>探索行政许可、行政检查、行政处罚、信用监管闭环管理体制，提高治理能力。</w:t>
      </w:r>
    </w:p>
    <w:p>
      <w:pPr>
        <w:pStyle w:val="Normal"/>
        <w:ind w:endChars="0" w:end="0"/>
        <w:rPr>
          <w:spacing w:val="0"/>
        </w:rPr>
      </w:pPr>
      <w:r>
        <w:rPr>
          <w:rFonts w:hint="eastAsia"/>
          <w:spacing w:val="0"/>
        </w:rPr>
        <w:t>构建以信用为基础的新型监管机制，推进人工智能、大数据、区块链、移动互联网等现代信息技术的智能监管方式应用，推行远程监管、移动监管、预警防控等非现场监管。</w:t>
      </w:r>
    </w:p>
    <w:p>
      <w:pPr>
        <w:pStyle w:val="Normal"/>
        <w:ind w:endChars="0" w:end="0"/>
        <w:rPr>
          <w:spacing w:val="0"/>
        </w:rPr>
      </w:pPr>
      <w:r>
        <w:rPr>
          <w:rFonts w:hint="eastAsia"/>
          <w:spacing w:val="0"/>
        </w:rPr>
        <w:t>实行信用信息异议处理和修复制度。有关部门和单位对市场主体提出异议的信用信息，经核查属实的，应当及时采取必要措施。鼓励市场主体通过主动履行义务、纠正失信行为、消除不利影响等方式，修复自身信用。</w:t>
      </w:r>
    </w:p>
    <w:p>
      <w:pPr>
        <w:pStyle w:val="Style15"/>
        <w:ind w:endChars="0" w:end="0"/>
        <w:rPr>
          <w:spacing w:val="0"/>
        </w:rPr>
      </w:pPr>
      <w:r>
        <w:rPr>
          <w:spacing w:val="0"/>
        </w:rPr>
      </w:r>
    </w:p>
    <w:p>
      <w:pPr>
        <w:pStyle w:val="Normal"/>
        <w:ind w:firstLineChars="0" w:firstLine="0" w:endChars="0" w:end="0"/>
        <w:jc w:val="center"/>
        <w:rPr>
          <w:rFonts w:eastAsia="黑体" w:cs="黑体"/>
          <w:spacing w:val="0"/>
        </w:rPr>
      </w:pPr>
      <w:r>
        <w:rPr>
          <w:rFonts w:hint="eastAsia" w:eastAsia="黑体"/>
          <w:spacing w:val="0"/>
        </w:rPr>
        <w:t>第五章</w:t>
      </w:r>
      <w:r>
        <w:rPr>
          <w:rFonts w:eastAsia="黑体"/>
          <w:spacing w:val="0"/>
        </w:rPr>
        <w:t xml:space="preserve"> </w:t>
      </w:r>
      <w:r>
        <w:rPr>
          <w:rFonts w:hint="eastAsia" w:eastAsia="黑体"/>
          <w:spacing w:val="0"/>
        </w:rPr>
        <w:t xml:space="preserve"> </w:t>
      </w:r>
      <w:r>
        <w:rPr>
          <w:rFonts w:cs="黑体" w:hint="eastAsia" w:eastAsia="黑体"/>
          <w:spacing w:val="0"/>
        </w:rPr>
        <w:t>法治环境</w:t>
      </w:r>
    </w:p>
    <w:p>
      <w:pPr>
        <w:pStyle w:val="Style15"/>
        <w:ind w:endChars="0" w:end="0"/>
        <w:rPr>
          <w:rFonts w:eastAsia="黑体" w:cs="黑体"/>
          <w:spacing w:val="0"/>
        </w:rPr>
      </w:pPr>
      <w:r>
        <w:rPr>
          <w:rFonts w:eastAsia="黑体" w:cs="黑体"/>
          <w:spacing w:val="0"/>
        </w:rPr>
      </w:r>
    </w:p>
    <w:p>
      <w:pPr>
        <w:pStyle w:val="Normal"/>
        <w:ind w:endChars="0" w:end="0"/>
        <w:rPr>
          <w:spacing w:val="0"/>
        </w:rPr>
      </w:pPr>
      <w:r>
        <w:rPr>
          <w:rFonts w:cs="黑体" w:hint="eastAsia" w:eastAsia="黑体"/>
          <w:spacing w:val="0"/>
        </w:rPr>
        <w:t>第五十条</w:t>
      </w:r>
      <w:r>
        <w:rPr>
          <w:rFonts w:eastAsia="黑体"/>
          <w:spacing w:val="0"/>
        </w:rPr>
        <w:t xml:space="preserve">  </w:t>
      </w:r>
      <w:r>
        <w:rPr>
          <w:rFonts w:hint="eastAsia"/>
          <w:spacing w:val="0"/>
        </w:rPr>
        <w:t>市、县级市（区）人民政府及其有关部门应当根据优化营商环境需要，在研究改革方案或者改革措施时，同步考虑改革涉及的立法问题，及时提出制定或者修改、废止、解释有关地方性法规、规章、行政规范性文件的建议。</w:t>
      </w:r>
    </w:p>
    <w:p>
      <w:pPr>
        <w:pStyle w:val="Normal"/>
        <w:ind w:endChars="0" w:end="0"/>
        <w:rPr>
          <w:spacing w:val="0"/>
        </w:rPr>
      </w:pPr>
      <w:r>
        <w:rPr>
          <w:rFonts w:hint="eastAsia"/>
          <w:spacing w:val="0"/>
        </w:rPr>
        <w:t>制定与市场主体生产经营活动密切相关的地方性法规、规章、行政规范性文件，除依法需要保密的外，应当坚持全过程公开、透明的原则，广泛征求市场主体、行业协会商会、消费者等方面的意见，并建立健全意见采纳反馈机制，保障市场主体的知情权、参与权。</w:t>
      </w:r>
    </w:p>
    <w:p>
      <w:pPr>
        <w:pStyle w:val="Normal"/>
        <w:ind w:endChars="0" w:end="0"/>
        <w:rPr>
          <w:spacing w:val="0"/>
        </w:rPr>
      </w:pPr>
      <w:r>
        <w:rPr>
          <w:rFonts w:cs="黑体" w:hint="eastAsia" w:eastAsia="黑体"/>
          <w:spacing w:val="0"/>
        </w:rPr>
        <w:t>第五十一条</w:t>
      </w:r>
      <w:r>
        <w:rPr>
          <w:rFonts w:eastAsia="黑体"/>
          <w:spacing w:val="0"/>
        </w:rPr>
        <w:t xml:space="preserve">  </w:t>
      </w:r>
      <w:r>
        <w:rPr>
          <w:rFonts w:hint="eastAsia"/>
          <w:spacing w:val="0"/>
        </w:rPr>
        <w:t>制定与市场主体生产经营活动密切相关的地方性法规、规章、行政规范性文件和其他政策措施，应当按照规定进行公平竞争审查。制定机关及其上级机关或者市场监督管理部门应当依法建立健全涉及公平竞争审查建议的受理回应机制。鼓励第三方参与公平竞争审查工作。</w:t>
      </w:r>
    </w:p>
    <w:p>
      <w:pPr>
        <w:pStyle w:val="Normal"/>
        <w:ind w:endChars="0" w:end="0"/>
        <w:rPr>
          <w:spacing w:val="0"/>
        </w:rPr>
      </w:pPr>
      <w:r>
        <w:rPr>
          <w:rFonts w:cs="黑体" w:hint="eastAsia" w:eastAsia="黑体"/>
          <w:spacing w:val="0"/>
        </w:rPr>
        <w:t>第五十二条</w:t>
      </w:r>
      <w:r>
        <w:rPr>
          <w:rFonts w:eastAsia="黑体"/>
          <w:spacing w:val="0"/>
        </w:rPr>
        <w:t xml:space="preserve">  </w:t>
      </w:r>
      <w:r>
        <w:rPr>
          <w:rFonts w:hint="eastAsia"/>
          <w:spacing w:val="0"/>
        </w:rPr>
        <w:t>按照国家和省有关规定整合精简现有执法队伍，在相关领域实行综合行政执法，推进行政执法权限和力量向基层延伸和下沉。</w:t>
      </w:r>
    </w:p>
    <w:p>
      <w:pPr>
        <w:pStyle w:val="Normal"/>
        <w:ind w:endChars="0" w:end="0"/>
        <w:rPr>
          <w:spacing w:val="0"/>
        </w:rPr>
      </w:pPr>
      <w:r>
        <w:rPr>
          <w:rFonts w:hint="eastAsia"/>
          <w:spacing w:val="0"/>
        </w:rPr>
        <w:t>建立健全跨部门、跨区域行政执法联动响应、协作机制和专业支撑机制。同一部门的日常监督检查原则上应当合并进行；不同部门的日常监督检查能够合并进行的，由属地政府组织有关部门实施联合检查。</w:t>
      </w:r>
    </w:p>
    <w:p>
      <w:pPr>
        <w:pStyle w:val="Normal"/>
        <w:ind w:endChars="0" w:end="0"/>
        <w:rPr>
          <w:spacing w:val="0"/>
          <w:shd w:fill="FFFFFF" w:val="clear"/>
        </w:rPr>
      </w:pPr>
      <w:r>
        <w:rPr>
          <w:rFonts w:hint="eastAsia"/>
          <w:spacing w:val="0"/>
        </w:rPr>
        <w:t>全面落</w:t>
      </w:r>
      <w:r>
        <w:rPr>
          <w:rFonts w:hint="eastAsia"/>
          <w:spacing w:val="0"/>
          <w:shd w:fill="FFFFFF" w:val="clear"/>
        </w:rPr>
        <w:t>实行政执法公示制度、执法全过程记录制度、重大执法决定法制审核制度，促进严格规范公正文明执法，维护行政相对人合法权益。探索“区块链</w:t>
      </w:r>
      <w:r>
        <w:rPr>
          <w:spacing w:val="0"/>
          <w:shd w:fill="FFFFFF" w:val="clear"/>
        </w:rPr>
        <w:t>+</w:t>
      </w:r>
      <w:r>
        <w:rPr>
          <w:rFonts w:hint="eastAsia"/>
          <w:spacing w:val="0"/>
          <w:shd w:fill="FFFFFF" w:val="clear"/>
        </w:rPr>
        <w:t>公证”在行政执法全过程记录中的应用。</w:t>
      </w:r>
    </w:p>
    <w:p>
      <w:pPr>
        <w:pStyle w:val="Normal"/>
        <w:shd w:fill="FFFFFF" w:val="clear"/>
        <w:ind w:endChars="0" w:end="0"/>
        <w:rPr>
          <w:spacing w:val="0"/>
          <w:shd w:fill="FFFFFF" w:val="clear"/>
        </w:rPr>
      </w:pPr>
      <w:r>
        <w:rPr>
          <w:rFonts w:cs="黑体" w:hint="eastAsia" w:eastAsia="黑体"/>
          <w:spacing w:val="0"/>
        </w:rPr>
        <w:t>第五十三条</w:t>
      </w:r>
      <w:r>
        <w:rPr>
          <w:rFonts w:eastAsia="黑体"/>
          <w:spacing w:val="0"/>
        </w:rPr>
        <w:t xml:space="preserve">  </w:t>
      </w:r>
      <w:r>
        <w:rPr>
          <w:rFonts w:hint="eastAsia"/>
          <w:spacing w:val="0"/>
          <w:shd w:fill="FFFFFF" w:val="clear"/>
        </w:rPr>
        <w:t>本市各级人民政府和有关部门应当按照鼓励创新和发展、确保质量和安全的原则，对新技术、新产业、新业态、新模式等实行包容审慎监管，不得简单予以禁止或者不予监管。</w:t>
      </w:r>
    </w:p>
    <w:p>
      <w:pPr>
        <w:pStyle w:val="Normal"/>
        <w:ind w:endChars="0" w:end="0"/>
        <w:rPr>
          <w:spacing w:val="0"/>
          <w:shd w:fill="FFFFFF" w:val="clear"/>
        </w:rPr>
      </w:pPr>
      <w:r>
        <w:rPr>
          <w:rFonts w:hint="eastAsia"/>
          <w:spacing w:val="0"/>
          <w:shd w:fill="FFFFFF" w:val="clear"/>
        </w:rPr>
        <w:t>依据《中华人民共和国行政处罚法》的规定，推行市场主体免罚轻罚清单制度，有关部门应当完善相关领域轻微违法行为不予行政处罚和一般违法行为从轻减轻行政处罚事项清单。</w:t>
      </w:r>
    </w:p>
    <w:p>
      <w:pPr>
        <w:pStyle w:val="Normal"/>
        <w:shd w:fill="FFFFFF" w:val="clear"/>
        <w:ind w:endChars="0" w:end="0"/>
        <w:rPr>
          <w:spacing w:val="0"/>
        </w:rPr>
      </w:pPr>
      <w:r>
        <w:rPr>
          <w:rFonts w:cs="黑体" w:hint="eastAsia" w:eastAsia="黑体"/>
          <w:spacing w:val="0"/>
          <w:shd w:fill="FFFFFF" w:val="clear"/>
        </w:rPr>
        <w:t>第五十四条</w:t>
      </w:r>
      <w:r>
        <w:rPr>
          <w:rFonts w:eastAsia="黑体"/>
          <w:spacing w:val="0"/>
          <w:shd w:fill="FFFFFF" w:val="clear"/>
        </w:rPr>
        <w:t xml:space="preserve">  </w:t>
      </w:r>
      <w:r>
        <w:rPr>
          <w:rFonts w:hint="eastAsia"/>
          <w:spacing w:val="0"/>
          <w:shd w:fill="FFFFFF" w:val="clear"/>
        </w:rPr>
        <w:t>行政机关、司法机关应当为市场主体化解纠纷提供多元解决方式，建立调解、仲裁、行政裁决、行政复议、诉讼等有机衔接、相互协调的纠纷解决机制。</w:t>
      </w:r>
    </w:p>
    <w:p>
      <w:pPr>
        <w:pStyle w:val="Normal"/>
        <w:shd w:fill="FFFFFF" w:val="clear"/>
        <w:ind w:endChars="0" w:end="0"/>
        <w:rPr>
          <w:spacing w:val="0"/>
        </w:rPr>
      </w:pPr>
      <w:r>
        <w:rPr>
          <w:rFonts w:hint="eastAsia"/>
          <w:spacing w:val="0"/>
          <w:shd w:fill="FFFFFF" w:val="clear"/>
        </w:rPr>
        <w:t>行政机关能够依法直接处理或者通过调解方式化解纠纷的，应当及时处理，不得拒绝申请。</w:t>
      </w:r>
    </w:p>
    <w:p>
      <w:pPr>
        <w:pStyle w:val="Normal"/>
        <w:ind w:endChars="0" w:end="0"/>
        <w:rPr>
          <w:rFonts w:eastAsia="黑体"/>
          <w:spacing w:val="0"/>
        </w:rPr>
      </w:pPr>
      <w:r>
        <w:rPr>
          <w:rFonts w:cs="黑体" w:hint="eastAsia" w:eastAsia="黑体"/>
          <w:spacing w:val="0"/>
        </w:rPr>
        <w:t>第五十五条</w:t>
      </w:r>
      <w:r>
        <w:rPr>
          <w:rFonts w:eastAsia="黑体"/>
          <w:spacing w:val="0"/>
        </w:rPr>
        <w:t xml:space="preserve">  </w:t>
      </w:r>
      <w:r>
        <w:rPr>
          <w:rFonts w:hint="eastAsia"/>
          <w:spacing w:val="0"/>
          <w:shd w:fill="FFFFFF" w:val="clear"/>
        </w:rPr>
        <w:t>人民法院、人民检察院和公安机关在办理涉企案件时，应当严格区分经济犯罪与经济纠纷，防止将经济纠纷作为经济犯罪处理。依法对企业的法定代表人、主要负责人、核心技术骨干等人员采取强制措施的，尽可能减轻对市场主体正常经营活动的不利影响。</w:t>
      </w:r>
    </w:p>
    <w:p>
      <w:pPr>
        <w:pStyle w:val="Normal"/>
        <w:ind w:endChars="0" w:end="0"/>
        <w:rPr>
          <w:spacing w:val="0"/>
        </w:rPr>
      </w:pPr>
      <w:r>
        <w:rPr>
          <w:rFonts w:hint="eastAsia"/>
          <w:spacing w:val="0"/>
        </w:rPr>
        <w:t>人民法院应当依法全面平等保护市场主体合法权益，推进民事诉讼繁简分流机制改革，完善执行工作长效机制建设，提升审判、执行的质量和效率。</w:t>
      </w:r>
    </w:p>
    <w:p>
      <w:pPr>
        <w:pStyle w:val="Normal"/>
        <w:ind w:endChars="0" w:end="0"/>
        <w:rPr>
          <w:spacing w:val="0"/>
        </w:rPr>
      </w:pPr>
      <w:r>
        <w:rPr>
          <w:rFonts w:hint="eastAsia"/>
          <w:spacing w:val="0"/>
        </w:rPr>
        <w:t>完善执行联动机制，政府相关部门、企事业单位应当依法配合人民法院查询市场主体的身份、财产、交易、联系方式等信息，支持人民法院实施网络查控和处置，切实解决执行难。</w:t>
      </w:r>
    </w:p>
    <w:p>
      <w:pPr>
        <w:pStyle w:val="Normal"/>
        <w:ind w:endChars="0" w:end="0"/>
        <w:rPr>
          <w:spacing w:val="0"/>
        </w:rPr>
      </w:pPr>
      <w:r>
        <w:rPr>
          <w:rFonts w:hint="eastAsia"/>
          <w:spacing w:val="0"/>
        </w:rPr>
        <w:t>人民检察院办理涉企案件时，对符合一定条件的企业或者有关人员，在依法作出不批准逮捕、不起诉决定或者依法提出轻缓量刑建议的同时，可以要求涉案企业作出合规承诺，并由第三方参与督促企业整改落实，促进企业合规守法经营，减少和预防企业犯罪。</w:t>
      </w:r>
    </w:p>
    <w:p>
      <w:pPr>
        <w:pStyle w:val="Normal"/>
        <w:ind w:endChars="0" w:end="0"/>
        <w:rPr>
          <w:spacing w:val="0"/>
        </w:rPr>
      </w:pPr>
      <w:r>
        <w:rPr>
          <w:rFonts w:cs="黑体" w:hint="eastAsia" w:eastAsia="黑体"/>
          <w:spacing w:val="0"/>
        </w:rPr>
        <w:t>第五十六条</w:t>
      </w:r>
      <w:r>
        <w:rPr>
          <w:rFonts w:eastAsia="黑体"/>
          <w:spacing w:val="0"/>
        </w:rPr>
        <w:t xml:space="preserve">  </w:t>
      </w:r>
      <w:r>
        <w:rPr>
          <w:rFonts w:hint="eastAsia"/>
          <w:spacing w:val="0"/>
        </w:rPr>
        <w:t>人民法院、人民检察院应当加强一站式诉讼服务中心建设，完善综合诉讼服务平台，提高民商事案件诉讼指引、审判事务、诉讼监督等诉讼服务网上办理水平。</w:t>
      </w:r>
    </w:p>
    <w:p>
      <w:pPr>
        <w:pStyle w:val="Normal"/>
        <w:ind w:endChars="0" w:end="0"/>
        <w:rPr>
          <w:spacing w:val="0"/>
        </w:rPr>
      </w:pPr>
      <w:r>
        <w:rPr>
          <w:rFonts w:hint="eastAsia"/>
          <w:spacing w:val="0"/>
        </w:rPr>
        <w:t>加强苏州国际商事法庭审判机制建设，通过开展网上立案、委托代理视频见证等方式，为中外当事人提供便捷高效、智能精准的司法服务。</w:t>
      </w:r>
    </w:p>
    <w:p>
      <w:pPr>
        <w:pStyle w:val="Normal"/>
        <w:ind w:endChars="0" w:end="0"/>
        <w:rPr>
          <w:spacing w:val="0"/>
          <w:shd w:fill="FFFFFF" w:val="clear"/>
        </w:rPr>
      </w:pPr>
      <w:r>
        <w:rPr>
          <w:rFonts w:cs="黑体" w:hint="eastAsia" w:eastAsia="黑体"/>
          <w:spacing w:val="0"/>
        </w:rPr>
        <w:t>第五十七条</w:t>
      </w:r>
      <w:r>
        <w:rPr>
          <w:rFonts w:eastAsia="黑体"/>
          <w:spacing w:val="0"/>
        </w:rPr>
        <w:t xml:space="preserve">  </w:t>
      </w:r>
      <w:r>
        <w:rPr>
          <w:rFonts w:hint="eastAsia"/>
          <w:spacing w:val="0"/>
          <w:shd w:fill="FFFFFF" w:val="clear"/>
        </w:rPr>
        <w:t>市、县级市（区）人民政府与人民法院建立企业破产处置协调联动机制，运用破产审判管理系统，统筹推进企业破产过程中的税务协调、信息共享、财产处置、信用修复、职工安置、融资支持和风险防范等工作，及时协调解决企业破产过程中的有关问题。</w:t>
      </w:r>
    </w:p>
    <w:p>
      <w:pPr>
        <w:pStyle w:val="Normal"/>
        <w:ind w:endChars="0" w:end="0"/>
        <w:rPr>
          <w:spacing w:val="0"/>
          <w:shd w:fill="FFFFFF" w:val="clear"/>
        </w:rPr>
      </w:pPr>
      <w:r>
        <w:rPr>
          <w:rFonts w:hint="eastAsia"/>
          <w:spacing w:val="0"/>
          <w:shd w:fill="FFFFFF" w:val="clear"/>
        </w:rPr>
        <w:t>人民法院应当健全“执转破”工作机制，推进预重整和个人债务清理，完善市场主体救治和退出机制。优化破产案件办理流程，加强破产审判专业化建设。建立破产企业动态资产信息库，引导投资人参与破产重整和资产变现。</w:t>
      </w:r>
    </w:p>
    <w:p>
      <w:pPr>
        <w:pStyle w:val="Normal"/>
        <w:ind w:endChars="0" w:end="0"/>
        <w:rPr>
          <w:spacing w:val="0"/>
          <w:shd w:fill="FFFFFF" w:val="clear"/>
        </w:rPr>
      </w:pPr>
      <w:r>
        <w:rPr>
          <w:rFonts w:cs="黑体" w:hint="eastAsia" w:eastAsia="黑体"/>
          <w:spacing w:val="0"/>
          <w:shd w:fill="FFFFFF" w:val="clear"/>
        </w:rPr>
        <w:t>第五十八条</w:t>
      </w:r>
      <w:r>
        <w:rPr>
          <w:rFonts w:eastAsia="黑体"/>
          <w:spacing w:val="0"/>
          <w:shd w:fill="FFFFFF" w:val="clear"/>
        </w:rPr>
        <w:t xml:space="preserve">  </w:t>
      </w:r>
      <w:r>
        <w:rPr>
          <w:rFonts w:hint="eastAsia"/>
          <w:spacing w:val="0"/>
          <w:shd w:fill="FFFFFF" w:val="clear"/>
        </w:rPr>
        <w:t>本市各级人民政府和有关部门应当遵循谁执法谁普法的原则，加强优化营商环境法治宣传教育，营造良好的优化营商环境氛围。</w:t>
      </w:r>
    </w:p>
    <w:p>
      <w:pPr>
        <w:pStyle w:val="Normal"/>
        <w:ind w:endChars="0" w:end="0"/>
        <w:rPr>
          <w:spacing w:val="0"/>
        </w:rPr>
      </w:pPr>
      <w:r>
        <w:rPr>
          <w:rFonts w:hint="eastAsia"/>
          <w:spacing w:val="0"/>
          <w:shd w:fill="FFFFFF" w:val="clear"/>
        </w:rPr>
        <w:t>加快现代公共法律服务体系建设，整合律师服务、公证、法律援助、司法鉴定、调解、仲裁等公共法律服务资源，在劳动争议、知识产权、生态环境保护、金融、商事等领域创新公共法律服务内容、形式和供给模式，提升公共法律服务质效。</w:t>
      </w:r>
    </w:p>
    <w:p>
      <w:pPr>
        <w:pStyle w:val="Normal"/>
        <w:ind w:endChars="0" w:end="0"/>
        <w:rPr>
          <w:spacing w:val="0"/>
          <w:shd w:fill="FFFFFF" w:val="clear"/>
        </w:rPr>
      </w:pPr>
      <w:r>
        <w:rPr>
          <w:rFonts w:cs="黑体" w:hint="eastAsia" w:eastAsia="黑体"/>
          <w:spacing w:val="0"/>
        </w:rPr>
        <w:t>第五十九条</w:t>
      </w:r>
      <w:r>
        <w:rPr>
          <w:rFonts w:eastAsia="黑体"/>
          <w:spacing w:val="0"/>
        </w:rPr>
        <w:t xml:space="preserve">  </w:t>
      </w:r>
      <w:r>
        <w:rPr>
          <w:rFonts w:hint="eastAsia"/>
          <w:spacing w:val="0"/>
          <w:shd w:fill="FFFFFF" w:val="clear"/>
        </w:rPr>
        <w:t>支持成立由机关单位、专业院校、社会组织等共同参与的优化营商环境法治联合体，整合法治资源，培育法治智库，研究优化营商环境工作中的制度瓶颈和体制机制问题，为政府决策提供智力支持。</w:t>
      </w:r>
    </w:p>
    <w:p>
      <w:pPr>
        <w:pStyle w:val="Normal"/>
        <w:ind w:endChars="0" w:end="0"/>
        <w:rPr>
          <w:spacing w:val="0"/>
          <w:shd w:fill="FFFFFF" w:val="clear"/>
        </w:rPr>
      </w:pPr>
      <w:r>
        <w:rPr>
          <w:rFonts w:hint="eastAsia"/>
          <w:spacing w:val="0"/>
          <w:shd w:fill="FFFFFF" w:val="clear"/>
        </w:rPr>
        <w:t>鼓励建设法律服务产业园，集聚优质司法、法律服务资源。支持引进境内外知名法律服务机构，培育和引进涉外、知识产权、金融等法律服务人才。</w:t>
      </w:r>
    </w:p>
    <w:p>
      <w:pPr>
        <w:pStyle w:val="Normal"/>
        <w:ind w:endChars="0" w:end="0"/>
        <w:rPr>
          <w:spacing w:val="0"/>
          <w:shd w:fill="FFFFFF" w:val="clear"/>
        </w:rPr>
      </w:pPr>
      <w:r>
        <w:rPr>
          <w:rFonts w:cs="黑体" w:hint="eastAsia" w:eastAsia="黑体"/>
          <w:spacing w:val="0"/>
        </w:rPr>
        <w:t>第六十条</w:t>
      </w:r>
      <w:r>
        <w:rPr>
          <w:rFonts w:eastAsia="黑体"/>
          <w:spacing w:val="0"/>
        </w:rPr>
        <w:t xml:space="preserve">  </w:t>
      </w:r>
      <w:r>
        <w:rPr>
          <w:rFonts w:hint="eastAsia"/>
          <w:spacing w:val="0"/>
          <w:shd w:fill="FFFFFF" w:val="clear"/>
        </w:rPr>
        <w:t>市、县级市（区）人民代表大会常务委员会可以通过听取专项工作报告、执法检查、质询、询问或者组织代表视察等方式，对优化营商环境工作进行监督，并探索区域协同工作监督和法律监督。</w:t>
      </w:r>
    </w:p>
    <w:p>
      <w:pPr>
        <w:pStyle w:val="Normal"/>
        <w:ind w:endChars="0" w:end="0"/>
        <w:rPr>
          <w:rFonts w:eastAsia="黑体"/>
          <w:spacing w:val="0"/>
        </w:rPr>
      </w:pPr>
      <w:r>
        <w:rPr>
          <w:rFonts w:hint="eastAsia"/>
          <w:spacing w:val="0"/>
          <w:shd w:fill="FFFFFF" w:val="clear"/>
        </w:rPr>
        <w:t>镇人民代表大会主席团在镇人民代表大会闭会期间，可以通过安排代表听取专项工作报告、执法检查、组织代表视察、调研等方式，对优化营商环境工作进行监督。</w:t>
      </w:r>
    </w:p>
    <w:p>
      <w:pPr>
        <w:pStyle w:val="Normal"/>
        <w:ind w:endChars="0" w:end="0"/>
        <w:rPr>
          <w:spacing w:val="0"/>
          <w:shd w:fill="FFFFFF" w:val="clear"/>
        </w:rPr>
      </w:pPr>
      <w:r>
        <w:rPr>
          <w:rFonts w:cs="黑体" w:hint="eastAsia" w:eastAsia="黑体"/>
          <w:spacing w:val="0"/>
        </w:rPr>
        <w:t>第六十一条</w:t>
      </w:r>
      <w:r>
        <w:rPr>
          <w:rFonts w:eastAsia="黑体"/>
          <w:spacing w:val="0"/>
        </w:rPr>
        <w:t xml:space="preserve">  </w:t>
      </w:r>
      <w:r>
        <w:rPr>
          <w:rFonts w:hint="eastAsia"/>
          <w:spacing w:val="0"/>
          <w:shd w:fill="FFFFFF" w:val="clear"/>
        </w:rPr>
        <w:t>监察机关应当加强对公职人员推动优化营商环境工作的监督，畅通市场主体反映问题的渠道，严肃查处损害营商环境的违法违规行为。</w:t>
      </w:r>
    </w:p>
    <w:p>
      <w:pPr>
        <w:pStyle w:val="Normal"/>
        <w:ind w:endChars="0" w:end="0"/>
        <w:rPr>
          <w:rFonts w:hint="eastAsia"/>
          <w:spacing w:val="0"/>
        </w:rPr>
      </w:pPr>
      <w:r>
        <w:rPr>
          <w:rFonts w:cs="黑体" w:hint="eastAsia" w:eastAsia="黑体"/>
          <w:spacing w:val="0"/>
        </w:rPr>
        <w:t>第六十二条</w:t>
      </w:r>
      <w:r>
        <w:rPr>
          <w:rFonts w:eastAsia="黑体"/>
          <w:spacing w:val="0"/>
        </w:rPr>
        <w:t xml:space="preserve">  </w:t>
      </w:r>
      <w:r>
        <w:rPr>
          <w:rFonts w:hint="eastAsia"/>
          <w:spacing w:val="0"/>
        </w:rPr>
        <w:t>本市各级人民政府和有关部门及其工作人员在优化营商环境工作</w:t>
      </w:r>
      <w:r>
        <w:rPr>
          <w:rFonts w:hint="eastAsia"/>
          <w:spacing w:val="0"/>
          <w:shd w:fill="FFFFFF" w:val="clear"/>
        </w:rPr>
        <w:t>中滥用职权、玩忽职守、徇私舞弊的，依法给予处分；构成犯罪的，依法追究</w:t>
      </w:r>
      <w:r>
        <w:rPr>
          <w:rFonts w:hint="eastAsia"/>
          <w:spacing w:val="0"/>
        </w:rPr>
        <w:t>刑事责任。</w:t>
      </w:r>
    </w:p>
    <w:p>
      <w:pPr>
        <w:pStyle w:val="Style15"/>
        <w:ind w:endChars="0" w:end="0"/>
        <w:rPr>
          <w:rFonts w:hint="eastAsia"/>
          <w:spacing w:val="0"/>
        </w:rPr>
      </w:pPr>
      <w:r>
        <w:rPr>
          <w:rFonts w:hint="eastAsia"/>
          <w:spacing w:val="0"/>
        </w:rPr>
      </w:r>
    </w:p>
    <w:p>
      <w:pPr>
        <w:pStyle w:val="Normal"/>
        <w:ind w:firstLineChars="0" w:firstLine="0" w:endChars="0" w:end="0"/>
        <w:jc w:val="center"/>
        <w:rPr>
          <w:rFonts w:eastAsia="黑体"/>
          <w:spacing w:val="0"/>
        </w:rPr>
      </w:pPr>
      <w:r>
        <w:rPr>
          <w:rFonts w:cs="黑体" w:hint="eastAsia" w:eastAsia="黑体"/>
          <w:spacing w:val="0"/>
        </w:rPr>
        <w:t>第六章</w:t>
      </w:r>
      <w:r>
        <w:rPr>
          <w:rFonts w:eastAsia="黑体"/>
          <w:spacing w:val="0"/>
        </w:rPr>
        <w:t xml:space="preserve">  </w:t>
      </w:r>
      <w:r>
        <w:rPr>
          <w:rFonts w:cs="黑体" w:hint="eastAsia" w:eastAsia="黑体"/>
          <w:spacing w:val="0"/>
        </w:rPr>
        <w:t>附则</w:t>
      </w:r>
    </w:p>
    <w:p>
      <w:pPr>
        <w:pStyle w:val="Normal"/>
        <w:ind w:endChars="0" w:end="0"/>
        <w:rPr>
          <w:rFonts w:eastAsia="黑体" w:cs="黑体" w:hint="eastAsia"/>
          <w:spacing w:val="0"/>
        </w:rPr>
      </w:pPr>
      <w:r>
        <w:rPr>
          <w:rFonts w:eastAsia="黑体" w:cs="黑体" w:hint="eastAsia"/>
          <w:spacing w:val="0"/>
        </w:rPr>
      </w:r>
    </w:p>
    <w:p>
      <w:pPr>
        <w:pStyle w:val="Normal"/>
        <w:ind w:endChars="0" w:end="0"/>
        <w:rPr>
          <w:spacing w:val="0"/>
        </w:rPr>
      </w:pPr>
      <w:r>
        <w:rPr>
          <w:rFonts w:cs="黑体" w:hint="eastAsia" w:eastAsia="黑体"/>
          <w:spacing w:val="0"/>
        </w:rPr>
        <w:t>第六十三条</w:t>
      </w:r>
      <w:r>
        <w:rPr>
          <w:rFonts w:eastAsia="黑体"/>
          <w:spacing w:val="0"/>
        </w:rPr>
        <w:t xml:space="preserve">  </w:t>
      </w:r>
      <w:r>
        <w:rPr>
          <w:rFonts w:hint="eastAsia"/>
          <w:spacing w:val="0"/>
        </w:rPr>
        <w:t>本条例自</w:t>
      </w:r>
      <w:r>
        <w:rPr>
          <w:spacing w:val="0"/>
        </w:rPr>
        <w:t>2022</w:t>
      </w:r>
      <w:r>
        <w:rPr>
          <w:rFonts w:hint="eastAsia"/>
          <w:spacing w:val="0"/>
        </w:rPr>
        <w:t>年</w:t>
      </w:r>
      <w:r>
        <w:rPr>
          <w:spacing w:val="0"/>
        </w:rPr>
        <w:t>3</w:t>
      </w:r>
      <w:r>
        <w:rPr>
          <w:rFonts w:hint="eastAsia"/>
          <w:spacing w:val="0"/>
        </w:rPr>
        <w:t>月</w:t>
      </w:r>
      <w:r>
        <w:rPr>
          <w:spacing w:val="0"/>
        </w:rPr>
        <w:t>1</w:t>
      </w:r>
      <w:r>
        <w:rPr>
          <w:rFonts w:hint="eastAsia"/>
          <w:spacing w:val="0"/>
        </w:rPr>
        <w:t>日起施行。</w:t>
      </w:r>
    </w:p>
    <w:p>
      <w:pPr>
        <w:pStyle w:val="Normal"/>
        <w:ind w:endChars="0" w:end="0"/>
        <w:rPr>
          <w:spacing w:val="0"/>
        </w:rPr>
      </w:pPr>
      <w:r>
        <w:rPr>
          <w:spacing w:val="0"/>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pacing w:val="0"/>
          <w:sz w:val="54"/>
          <w:szCs w:val="54"/>
        </w:rPr>
      </w:pPr>
      <w:r>
        <w:rPr>
          <w:rFonts w:eastAsia="宋体" w:cs="Times New Roman" w:hint="eastAsia" w:ascii="Times New Roman" w:hAnsi="Times New Roman"/>
          <w:b/>
          <w:color w:val="000000"/>
          <w:spacing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等线 Light">
    <w:altName w:val="宋体"/>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黑体简体">
    <w:charset w:val="86"/>
    <w:family w:val="script"/>
    <w:pitch w:val="default"/>
  </w:font>
  <w:font w:name="方正楷体简体">
    <w:charset w:val="86"/>
    <w:family w:val="script"/>
    <w:pitch w:val="default"/>
  </w:font>
  <w:font w:name="方正楷体_GBK">
    <w:altName w:val="微软雅黑"/>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3"/>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26</w:t>
                          </w:r>
                          <w:r>
                            <w:rPr>
                              <w:sz w:val="30"/>
                              <w:szCs w:val="30"/>
                            </w:rPr>
                            <w:fldChar w:fldCharType="end"/>
                          </w:r>
                          <w:r>
                            <w:rPr>
                              <w:sz w:val="30"/>
                              <w:szCs w:val="30"/>
                            </w:rPr>
                            <w:t xml:space="preserve"> </w:t>
                          </w:r>
                          <w:r>
                            <w:rPr>
                              <w:rFonts w:hint="eastAsia"/>
                              <w:sz w:val="30"/>
                              <w:szCs w:val="30"/>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26</w:t>
                    </w:r>
                    <w:r>
                      <w:rPr>
                        <w:sz w:val="30"/>
                        <w:szCs w:val="30"/>
                      </w:rPr>
                      <w:fldChar w:fldCharType="end"/>
                    </w:r>
                    <w:r>
                      <w:rPr>
                        <w:sz w:val="30"/>
                        <w:szCs w:val="30"/>
                      </w:rPr>
                      <w:t xml:space="preserve"> </w:t>
                    </w:r>
                    <w:r>
                      <w:rPr>
                        <w:rFonts w:hint="eastAsia"/>
                        <w:sz w:val="30"/>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2"/>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25</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25</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首行缩进 2"/>
    <w:basedOn w:val="BodyTextIndent"/>
    <w:qFormat/>
    <w:pPr>
      <w:ind w:firstLineChars="200" w:startChars="0" w:start="0" w:endChars="0" w:end="0"/>
    </w:pPr>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5">
    <w:name w:val="引文目录"/>
    <w:basedOn w:val="Normal"/>
    <w:next w:val="Normal"/>
    <w:qFormat/>
    <w:pPr/>
    <w:rPr>
      <w:szCs w:val="22"/>
    </w:rPr>
  </w:style>
  <w:style w:type="paragraph" w:styleId="Subtitle">
    <w:name w:val="Subtitle"/>
    <w:basedOn w:val="Normal"/>
    <w:next w:val="2"/>
    <w:qFormat/>
    <w:pPr>
      <w:spacing w:lineRule="auto" w:line="312" w:before="240" w:after="60"/>
      <w:ind w:firstLineChars="200" w:startChars="0" w:start="0" w:endChars="0" w:end="0"/>
      <w:outlineLvl w:val="1"/>
    </w:pPr>
    <w:rPr>
      <w:rFonts w:ascii="等线 Light;宋体" w:hAnsi="等线 Light;宋体" w:eastAsia="方正黑体_GBK;微软雅黑" w:cs="等线 Light;宋体"/>
      <w:bCs/>
      <w:kern w:val="2"/>
      <w:sz w:val="32"/>
      <w:szCs w:val="32"/>
    </w:rPr>
  </w:style>
  <w:style w:type="paragraph" w:styleId="Style16">
    <w:name w:val="正文首行缩进"/>
    <w:qFormat/>
    <w:pPr>
      <w:widowControl/>
      <w:bidi w:val="0"/>
      <w:ind w:firstLine="100" w:start="0" w:end="0"/>
    </w:pPr>
    <w:rPr>
      <w:rFonts w:ascii="Calibri" w:hAnsi="Calibri" w:eastAsia="宋体" w:cs="Calibri"/>
      <w:color w:val="auto"/>
      <w:sz w:val="20"/>
      <w:szCs w:val="20"/>
      <w:lang w:bidi="ar-SA" w:val="en-US" w:eastAsia="zh-CN"/>
    </w:rPr>
  </w:style>
  <w:style w:type="paragraph" w:styleId="p0">
    <w:name w:val="p0"/>
    <w:basedOn w:val="Normal"/>
    <w:qFormat/>
    <w:pPr>
      <w:widowControl/>
    </w:pPr>
    <w:rPr>
      <w:rFonts w:ascii="Calibri" w:hAnsi="Calibri" w:cs="宋体"/>
      <w:kern w:val="0"/>
      <w:szCs w:val="21"/>
    </w:rPr>
  </w:style>
  <w:style w:type="paragraph" w:styleId="CharCharChar">
    <w:name w:val="Char Char Char"/>
    <w:basedOn w:val="Normal"/>
    <w:qFormat/>
    <w:pPr/>
    <w:rPr>
      <w:rFonts w:ascii="Tahoma" w:hAnsi="Tahoma" w:cs="Tahoma"/>
      <w:sz w:val="24"/>
    </w:rPr>
  </w:style>
  <w:style w:type="paragraph" w:styleId="31">
    <w:name w:val="标题3"/>
    <w:basedOn w:val="Normal"/>
    <w:next w:val="Normal"/>
    <w:qFormat/>
    <w:pPr/>
    <w:rPr>
      <w:rFonts w:ascii="方正黑体简体" w:hAnsi="方正黑体简体" w:eastAsia="方正黑体简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71">
    <w:name w:val="_Style 7"/>
    <w:basedOn w:val="Normal"/>
    <w:qFormat/>
    <w:pPr>
      <w:widowControl/>
      <w:spacing w:lineRule="exact" w:line="240" w:before="0" w:after="160"/>
      <w:jc w:val="start"/>
    </w:pPr>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抄送栏"/>
    <w:basedOn w:val="Normal"/>
    <w:qFormat/>
    <w:pPr>
      <w:snapToGrid w:val="true"/>
      <w:ind w:firstLineChars="200" w:startChars="0" w:start="0" w:endChars="0" w:end="0"/>
    </w:pPr>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2021-12-22T17:32:00Z</dcterms:created>
  <dc:creator>admin</dc:creator>
  <dc:description/>
  <dc:language>en-US</dc:language>
  <cp:lastModifiedBy>user</cp:lastModifiedBy>
  <cp:lastPrinted>2021-12-20T15:50:00Z</cp:lastPrinted>
  <dcterms:modified xsi:type="dcterms:W3CDTF">2021-12-29T10:46:00Z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