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tabs>
          <w:tab w:val="clear" w:pos="9193"/>
          <w:tab w:val="clear" w:pos="9827"/>
        </w:tabs>
        <w:spacing w:lineRule="exact" w:line="590"/>
        <w:ind w:endChars="0" w:end="0"/>
        <w:rPr>
          <w:rFonts w:ascii="Times New Roman" w:hAnsi="Times New Roman" w:eastAsia="方正小标宋_GBK;微软雅黑" w:cs="Times New Roman" w:hint="eastAsia"/>
        </w:rPr>
      </w:pPr>
      <w:r>
        <w:rPr>
          <w:rFonts w:eastAsia="方正小标宋_GBK;微软雅黑" w:cs="Times New Roman" w:hint="eastAsia" w:ascii="Times New Roman" w:hAnsi="Times New Roman"/>
        </w:rPr>
      </w:r>
    </w:p>
    <w:p>
      <w:pPr>
        <w:pStyle w:val="1"/>
        <w:tabs>
          <w:tab w:val="clear" w:pos="9193"/>
          <w:tab w:val="clear" w:pos="9827"/>
        </w:tabs>
        <w:spacing w:lineRule="exact" w:line="590"/>
        <w:ind w:endChars="0" w:end="0"/>
        <w:rPr>
          <w:rFonts w:ascii="Times New Roman" w:hAnsi="Times New Roman" w:eastAsia="方正小标宋_GBK;微软雅黑" w:cs="Times New Roman" w:hint="eastAsia"/>
        </w:rPr>
      </w:pPr>
      <w:r>
        <w:rPr>
          <w:rFonts w:eastAsia="方正小标宋_GBK;微软雅黑" w:cs="Times New Roman" w:hint="eastAsia" w:ascii="Times New Roman" w:hAnsi="Times New Roman"/>
        </w:rPr>
      </w:r>
    </w:p>
    <w:p>
      <w:pPr>
        <w:pStyle w:val="1"/>
        <w:tabs>
          <w:tab w:val="clear" w:pos="9193"/>
          <w:tab w:val="clear" w:pos="9827"/>
        </w:tabs>
        <w:spacing w:lineRule="exact" w:line="590"/>
        <w:rPr>
          <w:rFonts w:ascii="Times New Roman" w:hAnsi="Times New Roman" w:eastAsia="宋体" w:cs="Times New Roman" w:hint="eastAsia"/>
        </w:rPr>
      </w:pPr>
      <w:r>
        <w:rPr>
          <w:rFonts w:ascii="Times New Roman" w:hAnsi="Times New Roman" w:cs="Times New Roman" w:hint="eastAsia" w:eastAsia="宋体"/>
        </w:rPr>
        <w:t>南通市人民代表大会常务委员会</w:t>
      </w:r>
    </w:p>
    <w:p>
      <w:pPr>
        <w:pStyle w:val="1"/>
        <w:tabs>
          <w:tab w:val="clear" w:pos="9193"/>
          <w:tab w:val="clear" w:pos="9827"/>
        </w:tabs>
        <w:spacing w:lineRule="exact" w:line="590"/>
        <w:rPr>
          <w:rFonts w:ascii="Times New Roman" w:hAnsi="Times New Roman" w:eastAsia="宋体" w:cs="Times New Roman" w:hint="eastAsia"/>
          <w:spacing w:val="-8"/>
          <w:szCs w:val="44"/>
        </w:rPr>
      </w:pPr>
      <w:r>
        <w:rPr>
          <w:rFonts w:ascii="Times New Roman" w:hAnsi="Times New Roman" w:cs="Times New Roman" w:hint="eastAsia" w:eastAsia="宋体"/>
          <w:spacing w:val="-8"/>
          <w:szCs w:val="44"/>
        </w:rPr>
        <w:t>关于修改《南通市濠河风景名胜区条例》的决定</w:t>
      </w:r>
    </w:p>
    <w:p>
      <w:pPr>
        <w:pStyle w:val="Normal"/>
        <w:snapToGrid w:val="true"/>
        <w:ind w:firstLineChars="0" w:firstLine="0" w:endChars="0" w:end="0"/>
        <w:jc w:val="center"/>
        <w:rPr>
          <w:rFonts w:ascii="Times New Roman" w:hAnsi="Times New Roman" w:eastAsia="楷体_GB2312" w:cs="Times New Roman" w:hint="eastAsia"/>
          <w:szCs w:val="32"/>
        </w:rPr>
      </w:pPr>
      <w:r>
        <w:rPr>
          <w:rFonts w:ascii="Times New Roman" w:hAnsi="Times New Roman" w:cs="Times New Roman" w:hint="eastAsia" w:eastAsia="楷体_GB2312"/>
          <w:szCs w:val="32"/>
        </w:rPr>
        <w:t>（</w:t>
      </w:r>
      <w:r>
        <w:rPr>
          <w:rFonts w:eastAsia="楷体_GB2312" w:cs="Times New Roman" w:hint="eastAsia" w:ascii="Times New Roman" w:hAnsi="Times New Roman"/>
          <w:szCs w:val="32"/>
        </w:rPr>
        <w:t>2022</w:t>
      </w:r>
      <w:r>
        <w:rPr>
          <w:rFonts w:ascii="Times New Roman" w:hAnsi="Times New Roman" w:cs="Times New Roman" w:hint="eastAsia" w:eastAsia="楷体_GB2312"/>
          <w:szCs w:val="32"/>
        </w:rPr>
        <w:t>年</w:t>
      </w:r>
      <w:r>
        <w:rPr>
          <w:rFonts w:eastAsia="楷体_GB2312" w:cs="Times New Roman" w:hint="eastAsia" w:ascii="Times New Roman" w:hAnsi="Times New Roman"/>
          <w:szCs w:val="32"/>
        </w:rPr>
        <w:t>3</w:t>
      </w:r>
      <w:r>
        <w:rPr>
          <w:rFonts w:ascii="Times New Roman" w:hAnsi="Times New Roman" w:cs="Times New Roman" w:hint="eastAsia" w:eastAsia="楷体_GB2312"/>
          <w:szCs w:val="32"/>
        </w:rPr>
        <w:t>月</w:t>
      </w:r>
      <w:r>
        <w:rPr>
          <w:rFonts w:eastAsia="楷体_GB2312" w:cs="Times New Roman" w:hint="eastAsia" w:ascii="Times New Roman" w:hAnsi="Times New Roman"/>
          <w:szCs w:val="32"/>
        </w:rPr>
        <w:t>17</w:t>
      </w:r>
      <w:r>
        <w:rPr>
          <w:rFonts w:ascii="Times New Roman" w:hAnsi="Times New Roman" w:cs="Times New Roman" w:hint="eastAsia" w:eastAsia="楷体_GB2312"/>
          <w:szCs w:val="32"/>
        </w:rPr>
        <w:t>日南通市第十六届人民代表大会</w:t>
      </w:r>
    </w:p>
    <w:p>
      <w:pPr>
        <w:pStyle w:val="Normal"/>
        <w:snapToGrid w:val="true"/>
        <w:ind w:firstLineChars="0" w:firstLine="0" w:endChars="0" w:end="0"/>
        <w:jc w:val="center"/>
        <w:rPr>
          <w:rFonts w:ascii="Times New Roman" w:hAnsi="Times New Roman" w:eastAsia="楷体_GB2312" w:cs="Times New Roman" w:hint="eastAsia"/>
          <w:szCs w:val="32"/>
        </w:rPr>
      </w:pPr>
      <w:r>
        <w:rPr>
          <w:rFonts w:ascii="Times New Roman" w:hAnsi="Times New Roman" w:cs="Times New Roman" w:hint="eastAsia" w:eastAsia="楷体_GB2312"/>
          <w:szCs w:val="32"/>
        </w:rPr>
        <w:t xml:space="preserve">常务委员会第一次会议通过  </w:t>
      </w:r>
      <w:r>
        <w:rPr>
          <w:rFonts w:eastAsia="楷体_GB2312" w:cs="Times New Roman" w:hint="eastAsia" w:ascii="Times New Roman" w:hAnsi="Times New Roman"/>
          <w:szCs w:val="32"/>
        </w:rPr>
        <w:t>2022</w:t>
      </w:r>
      <w:r>
        <w:rPr>
          <w:rFonts w:ascii="Times New Roman" w:hAnsi="Times New Roman" w:cs="Times New Roman" w:hint="eastAsia" w:eastAsia="楷体_GB2312"/>
          <w:szCs w:val="32"/>
        </w:rPr>
        <w:t>年</w:t>
      </w:r>
      <w:r>
        <w:rPr>
          <w:rFonts w:eastAsia="楷体_GB2312" w:cs="Times New Roman" w:hint="eastAsia" w:ascii="Times New Roman" w:hAnsi="Times New Roman"/>
          <w:szCs w:val="32"/>
        </w:rPr>
        <w:t>5</w:t>
      </w:r>
      <w:r>
        <w:rPr>
          <w:rFonts w:ascii="Times New Roman" w:hAnsi="Times New Roman" w:cs="Times New Roman" w:hint="eastAsia" w:eastAsia="楷体_GB2312"/>
          <w:szCs w:val="32"/>
        </w:rPr>
        <w:t>月</w:t>
      </w:r>
      <w:r>
        <w:rPr>
          <w:rFonts w:eastAsia="楷体_GB2312" w:cs="Times New Roman" w:hint="eastAsia" w:ascii="Times New Roman" w:hAnsi="Times New Roman"/>
          <w:szCs w:val="32"/>
        </w:rPr>
        <w:t>31</w:t>
      </w:r>
      <w:r>
        <w:rPr>
          <w:rFonts w:ascii="Times New Roman" w:hAnsi="Times New Roman" w:cs="Times New Roman" w:hint="eastAsia" w:eastAsia="楷体_GB2312"/>
          <w:szCs w:val="32"/>
        </w:rPr>
        <w:t>日江苏省</w:t>
      </w:r>
    </w:p>
    <w:p>
      <w:pPr>
        <w:pStyle w:val="Normal"/>
        <w:snapToGrid w:val="true"/>
        <w:ind w:firstLineChars="0" w:firstLine="0" w:endChars="0" w:end="0"/>
        <w:jc w:val="center"/>
        <w:rPr>
          <w:rFonts w:ascii="Times New Roman" w:hAnsi="Times New Roman" w:eastAsia="楷体_GB2312" w:cs="Times New Roman" w:hint="eastAsia"/>
          <w:szCs w:val="32"/>
        </w:rPr>
      </w:pPr>
      <w:r>
        <w:rPr>
          <w:rFonts w:ascii="Times New Roman" w:hAnsi="Times New Roman" w:cs="Times New Roman" w:hint="eastAsia" w:eastAsia="楷体_GB2312"/>
          <w:szCs w:val="32"/>
        </w:rPr>
        <w:t>第十三届人民代表大会常务委员会第三十次会议批准）</w:t>
      </w:r>
    </w:p>
    <w:p>
      <w:pPr>
        <w:pStyle w:val="Normal"/>
        <w:ind w:endChars="0" w:end="0"/>
        <w:rPr>
          <w:rFonts w:ascii="Times New Roman" w:hAnsi="Times New Roman" w:eastAsia="楷体_GB2312" w:cs="Times New Roman" w:hint="eastAsia"/>
          <w:szCs w:val="32"/>
        </w:rPr>
      </w:pPr>
      <w:r>
        <w:rPr>
          <w:rFonts w:eastAsia="楷体_GB2312" w:cs="Times New Roman" w:hint="eastAsia" w:ascii="Times New Roman" w:hAnsi="Times New Roman"/>
          <w:szCs w:val="32"/>
        </w:rPr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南通市第十六届人民代表大会常务委员会第一次会议决定对《南通市濠河风景名胜区条例》作如下修改：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黑体" w:hAnsi="黑体" w:cs="黑体" w:hint="eastAsia" w:eastAsia="黑体"/>
        </w:rPr>
        <w:t>一、</w:t>
      </w:r>
      <w:r>
        <w:rPr>
          <w:rFonts w:ascii="Times New Roman" w:hAnsi="Times New Roman" w:cs="Times New Roman" w:hint="eastAsia"/>
        </w:rPr>
        <w:t>将第五条第二款中的“建设、规划、国土、旅游、文化、城管、公安、环保、交通、水利、工商、卫生、质监、食药监、宗教、安监以及行政审批等部门”修改为“自然资源和规划、住房和城乡建设、市政园林、文化旅游、城市管理、公安、生态环境、交通运输、水利、市场监督管理、卫生健康、宗教、应急管理以及行政审批等部门”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第二款中的“日常管理”修改为“统一管理”。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第三款中的“协同”修改为“按照职责”。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黑体" w:hAnsi="黑体" w:cs="黑体" w:hint="eastAsia" w:eastAsia="黑体"/>
        </w:rPr>
        <w:t>二、</w:t>
      </w:r>
      <w:r>
        <w:rPr>
          <w:rFonts w:ascii="Times New Roman" w:hAnsi="Times New Roman" w:cs="Times New Roman" w:hint="eastAsia"/>
        </w:rPr>
        <w:t>将第九条第二款中的“报省城乡建设主管部门审批”修改为“依法报省林业主管部门审批”。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黑体" w:hAnsi="黑体" w:cs="黑体" w:hint="eastAsia" w:eastAsia="黑体"/>
        </w:rPr>
        <w:t>三、</w:t>
      </w:r>
      <w:r>
        <w:rPr>
          <w:rFonts w:ascii="Times New Roman" w:hAnsi="Times New Roman" w:cs="Times New Roman" w:hint="eastAsia"/>
        </w:rPr>
        <w:t>将第十条中的“南通市城市总体规划”修改为“南通市国土空间总体规划”。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黑体" w:hAnsi="黑体" w:cs="黑体" w:hint="eastAsia" w:eastAsia="黑体"/>
        </w:rPr>
        <w:t>四、</w:t>
      </w:r>
      <w:r>
        <w:rPr>
          <w:rFonts w:ascii="Times New Roman" w:hAnsi="Times New Roman" w:cs="Times New Roman" w:hint="eastAsia"/>
        </w:rPr>
        <w:t>将第十二条第一款中的“应当依法报经原审批机关批准”修改为“应当依法报经相关审批机关批准”。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黑体" w:hAnsi="黑体" w:cs="黑体" w:hint="eastAsia" w:eastAsia="黑体"/>
        </w:rPr>
        <w:t>五、</w:t>
      </w:r>
      <w:r>
        <w:rPr>
          <w:rFonts w:ascii="Times New Roman" w:hAnsi="Times New Roman" w:cs="Times New Roman" w:hint="eastAsia"/>
        </w:rPr>
        <w:t>将第二十五条第一款中的“市城乡建设主管部门“修改为“市市政园林主管部门”。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黑体" w:hAnsi="黑体" w:cs="黑体" w:hint="eastAsia" w:eastAsia="黑体"/>
        </w:rPr>
        <w:t>六、</w:t>
      </w:r>
      <w:r>
        <w:rPr>
          <w:rFonts w:ascii="Times New Roman" w:hAnsi="Times New Roman" w:cs="Times New Roman" w:hint="eastAsia"/>
        </w:rPr>
        <w:t>将第二十六条中的“环境保护行政主管部门”修改为“生态环境行政主管部门”。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黑体" w:hAnsi="黑体" w:cs="黑体" w:hint="eastAsia" w:eastAsia="黑体"/>
        </w:rPr>
        <w:t>七、</w:t>
      </w:r>
      <w:r>
        <w:rPr>
          <w:rFonts w:ascii="Times New Roman" w:hAnsi="Times New Roman" w:cs="Times New Roman" w:hint="eastAsia"/>
        </w:rPr>
        <w:t>将第二十八条第一款第一项中的“擅自栽植、放生外来物种”修改为“擅自在濠河水体养殖、投放外来物种或者其他不符合生态环境保护要求的物种”。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第二项修改为：“（二）擅自航行、停泊、水上作业或者进行水上滑板等活动”。</w:t>
      </w:r>
    </w:p>
    <w:p>
      <w:pPr>
        <w:pStyle w:val="Normal"/>
        <w:ind w:endChars="0" w:end="0"/>
        <w:rPr>
          <w:rFonts w:ascii="Times New Roman" w:hAnsi="Times New Roman" w:cs="宋体" w:hint="eastAsia"/>
        </w:rPr>
      </w:pPr>
      <w:r>
        <w:rPr>
          <w:rFonts w:ascii="Times New Roman" w:hAnsi="Times New Roman" w:cs="Times New Roman" w:hint="eastAsia"/>
        </w:rPr>
        <w:t>第四项修改为：“（四）损坏树木花草，破坏绿化设施，擅自占用绿地、广场、步道、水域”</w:t>
      </w:r>
      <w:r>
        <w:rPr>
          <w:rFonts w:ascii="Times New Roman" w:hAnsi="Times New Roman" w:cs="宋体" w:hint="eastAsia"/>
        </w:rPr>
        <w:t>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第五项修改为：“（五）在景物、建（构）筑物和设施上涂写、刻画，攀爬、刻划树木，擅自张贴、悬挂、晾晒物品，踩踏观赏草坪等禁止进入的绿地”。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第六项修改为：“（六）乱扔垃圾，焚烧落叶等物质，随地便溺”。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第九项修改为：“（九）携犬不束牵引绳，不清理宠物粪便，</w:t>
      </w:r>
    </w:p>
    <w:p>
      <w:pPr>
        <w:pStyle w:val="Normal"/>
        <w:ind w:firstLineChars="0" w:firstLine="0"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携犬进入禁止区域”。</w:t>
      </w:r>
    </w:p>
    <w:p>
      <w:pPr>
        <w:pStyle w:val="Normal"/>
        <w:ind w:endChars="0" w:end="0"/>
        <w:rPr>
          <w:rFonts w:ascii="Times New Roman" w:hAnsi="Times New Roman" w:cs="Times New Roman" w:hint="eastAsia"/>
          <w:spacing w:val="-4"/>
          <w:szCs w:val="32"/>
        </w:rPr>
      </w:pPr>
      <w:r>
        <w:rPr>
          <w:rFonts w:ascii="Times New Roman" w:hAnsi="Times New Roman" w:cs="Times New Roman" w:hint="eastAsia"/>
          <w:spacing w:val="-4"/>
          <w:szCs w:val="32"/>
        </w:rPr>
        <w:t>第二款修改为</w:t>
      </w:r>
      <w:r>
        <w:rPr>
          <w:rFonts w:ascii="Times New Roman" w:hAnsi="Times New Roman" w:cs="宋体" w:hint="eastAsia"/>
          <w:spacing w:val="-4"/>
          <w:szCs w:val="32"/>
        </w:rPr>
        <w:t>：“</w:t>
      </w:r>
      <w:r>
        <w:rPr>
          <w:rFonts w:ascii="Times New Roman" w:hAnsi="Times New Roman" w:cs="Times New Roman" w:hint="eastAsia"/>
          <w:spacing w:val="-4"/>
          <w:szCs w:val="32"/>
        </w:rPr>
        <w:t>前款第三项、第五项、第九项规定的禁止区域、时段、禁止进入的绿地由风景区管理机构划定，向社会公布。”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黑体" w:hAnsi="黑体" w:cs="黑体" w:hint="eastAsia" w:eastAsia="黑体"/>
        </w:rPr>
        <w:t>八、</w:t>
      </w:r>
      <w:r>
        <w:rPr>
          <w:rFonts w:ascii="Times New Roman" w:hAnsi="Times New Roman" w:cs="Times New Roman" w:hint="eastAsia"/>
        </w:rPr>
        <w:t>将第二十九条中的“依照有关法律、法规的规定办理审批手续”修改为“依照有关法律、法规的规定报主管部门批准”。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第一项修改为</w:t>
      </w:r>
      <w:r>
        <w:rPr>
          <w:rFonts w:ascii="Times New Roman" w:hAnsi="Times New Roman" w:cs="宋体" w:hint="eastAsia"/>
        </w:rPr>
        <w:t>：</w:t>
      </w:r>
      <w:r>
        <w:rPr>
          <w:rFonts w:ascii="Times New Roman" w:hAnsi="Times New Roman" w:cs="Times New Roman" w:hint="eastAsia"/>
        </w:rPr>
        <w:t>“（一）设置户外广告设施”。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第二项修改为：“（二）举办游乐、户外演出、影视拍摄等大型群众性活动”。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黑体" w:hAnsi="黑体" w:cs="黑体" w:hint="eastAsia" w:eastAsia="黑体"/>
        </w:rPr>
        <w:t>九、</w:t>
      </w:r>
      <w:r>
        <w:rPr>
          <w:rFonts w:ascii="Times New Roman" w:hAnsi="Times New Roman" w:cs="Times New Roman" w:hint="eastAsia"/>
        </w:rPr>
        <w:t>将第三十四条中的“依法取得有关部门许可”修改为“依法办理使用登记”。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黑体" w:hAnsi="黑体" w:cs="黑体" w:hint="eastAsia" w:eastAsia="黑体"/>
        </w:rPr>
        <w:t>十、</w:t>
      </w:r>
      <w:r>
        <w:rPr>
          <w:rFonts w:ascii="Times New Roman" w:hAnsi="Times New Roman" w:cs="Times New Roman" w:hint="eastAsia"/>
        </w:rPr>
        <w:t>将第三十七条修改为：“风景区管理机构应当建立健全投诉举报制度，公布投诉举报电话，及时、妥善处理各种投诉，发现、制止和依法查处或者协助有关行政主管部门、街道办事处查处违反本条例的行为。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cs="Times New Roman" w:hint="eastAsia" w:ascii="Times New Roman" w:hAnsi="Times New Roman"/>
        </w:rPr>
        <w:t>“</w:t>
      </w:r>
      <w:r>
        <w:rPr>
          <w:rFonts w:ascii="Times New Roman" w:hAnsi="Times New Roman" w:cs="Times New Roman" w:hint="eastAsia"/>
        </w:rPr>
        <w:t>有关行政主管部门、街道办事处应当与风景区管理机构建立执法联动机制，完善日常巡查等制度，依法查处违法行为。”</w:t>
      </w:r>
    </w:p>
    <w:p>
      <w:pPr>
        <w:pStyle w:val="Normal"/>
        <w:ind w:endChars="0" w:end="0"/>
        <w:rPr>
          <w:rFonts w:ascii="Times New Roman" w:hAnsi="Times New Roman" w:cs="宋体" w:hint="eastAsia"/>
        </w:rPr>
      </w:pPr>
      <w:r>
        <w:rPr>
          <w:rFonts w:ascii="黑体" w:hAnsi="黑体" w:cs="黑体" w:hint="eastAsia" w:eastAsia="黑体"/>
        </w:rPr>
        <w:t>十一、</w:t>
      </w:r>
      <w:r>
        <w:rPr>
          <w:rFonts w:ascii="Times New Roman" w:hAnsi="Times New Roman" w:cs="Times New Roman" w:hint="eastAsia"/>
        </w:rPr>
        <w:t>将第四十一条第一项修改为：“（一）炸鱼、毒鱼、电鱼、设网捕鱼、使用抛钩等危险方式捕鱼的，没收渔具和渔获物。对炸鱼、毒鱼的，并处一千元以上五千元以下罚款；对电鱼、设网捕鱼的，并处二百元以上一千元以下罚款；对使用抛钩等危险方式捕鱼的，并处五十元以上二百元以下罚款”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第二项修改为：“</w:t>
      </w:r>
      <w:r>
        <w:rPr>
          <w:rFonts w:ascii="Times New Roman" w:hAnsi="Times New Roman" w:cs="宋体" w:hint="eastAsia"/>
        </w:rPr>
        <w:t>（二）</w:t>
      </w:r>
      <w:r>
        <w:rPr>
          <w:rFonts w:ascii="Times New Roman" w:hAnsi="Times New Roman" w:cs="Times New Roman" w:hint="eastAsia"/>
        </w:rPr>
        <w:t>擅自航行、停泊、水上作业或者进行水上滑板等活动的，处二百元以上一千元以下罚款”。</w:t>
      </w:r>
    </w:p>
    <w:p>
      <w:pPr>
        <w:pStyle w:val="Normal"/>
        <w:ind w:endChars="0" w:end="0"/>
        <w:rPr>
          <w:rFonts w:ascii="Times New Roman" w:hAnsi="Times New Roman" w:cs="宋体" w:hint="eastAsia"/>
        </w:rPr>
      </w:pPr>
      <w:r>
        <w:rPr>
          <w:rFonts w:ascii="Times New Roman" w:hAnsi="Times New Roman" w:cs="Times New Roman" w:hint="eastAsia"/>
        </w:rPr>
        <w:t>将第四项中的“破坏绿化设施的，可以处损失额一倍以上五倍以下罚款”修改为“损坏树木花草、破坏绿化设施的，可以处损失额一倍以上五倍以下罚款”</w:t>
      </w:r>
      <w:r>
        <w:rPr>
          <w:rFonts w:ascii="Times New Roman" w:hAnsi="Times New Roman" w:cs="宋体" w:hint="eastAsia"/>
        </w:rPr>
        <w:t>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第五项修改为：“（五）在景物、建（构）筑物和设施上涂写、刻画，攀爬、刻划树木，擅自张贴、悬挂、晾晒物品的，处五十元罚款；踩踏观赏草坪等禁止进入的绿地，经劝阻教育拒不改正的，可以处二十元以上五十元以下罚款”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第六项修改为：“（六）乱扔垃圾的，处五十元罚款；随地便溺的，可以处二十元以上二百元以下罚款；焚烧落叶等物质的，可以处五百元以上二千元以下罚款”。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第九项修改为：“（九）携犬不束牵引绳的，可以处五十元以上五百元以下罚款；不清理宠物粪便的，可以处二十元以上二百元以下罚款；携犬进入禁止区域的，可以处警告或者五十元以上二百元以下罚款”。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黑体" w:hAnsi="黑体" w:cs="黑体" w:hint="eastAsia" w:eastAsia="黑体"/>
        </w:rPr>
        <w:t>十二、</w:t>
      </w:r>
      <w:r>
        <w:rPr>
          <w:rFonts w:ascii="Times New Roman" w:hAnsi="Times New Roman" w:cs="Times New Roman" w:hint="eastAsia"/>
        </w:rPr>
        <w:t>将第四十三条中的“责令改正”修改为“由风景区管理机构责令改正”。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黑体" w:hAnsi="黑体" w:cs="黑体" w:hint="eastAsia" w:eastAsia="黑体"/>
        </w:rPr>
        <w:t>十三、</w:t>
      </w:r>
      <w:r>
        <w:rPr>
          <w:rFonts w:ascii="Times New Roman" w:hAnsi="Times New Roman" w:cs="Times New Roman" w:hint="eastAsia"/>
        </w:rPr>
        <w:t>将第四十四条中的“环境保护、城市管理行政主管部门”修改为“生态环境、城市管理行政主管部门以及相关街道办事处”。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黑体" w:hAnsi="黑体" w:cs="黑体" w:hint="eastAsia" w:eastAsia="黑体"/>
        </w:rPr>
        <w:t>十四、</w:t>
      </w:r>
      <w:r>
        <w:rPr>
          <w:rFonts w:ascii="Times New Roman" w:hAnsi="Times New Roman" w:cs="Times New Roman" w:hint="eastAsia"/>
        </w:rPr>
        <w:t>将第四十五条中的“城市管理、公安机关、市场监管等行政主管部门”修改为“城市管理、公安、市场监督管理等行政主管部门以及相关街道办事处”。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黑体" w:hAnsi="黑体" w:cs="黑体" w:hint="eastAsia" w:eastAsia="黑体"/>
        </w:rPr>
        <w:t>十五、</w:t>
      </w:r>
      <w:r>
        <w:rPr>
          <w:rFonts w:ascii="Times New Roman" w:hAnsi="Times New Roman" w:cs="Times New Roman" w:hint="eastAsia"/>
        </w:rPr>
        <w:t>将第四十六条中的“有关行政主管部门”修改为“有关行政主管部门以及街道办事处”。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黑体" w:hAnsi="黑体" w:cs="黑体" w:hint="eastAsia" w:eastAsia="黑体"/>
        </w:rPr>
        <w:t>十六、</w:t>
      </w:r>
      <w:r>
        <w:rPr>
          <w:rFonts w:ascii="Times New Roman" w:hAnsi="Times New Roman" w:cs="Times New Roman" w:hint="eastAsia"/>
        </w:rPr>
        <w:t>将第四十七条修改为：“有关行政主管部门、街道办事处和风景区管理机构的工作人员滥用职权、玩忽职守、徇私舞弊的，依法给予处分；构成犯罪的，依法追究刑事责任。”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此外，对有关条款作文字修改。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本决定自</w:t>
      </w:r>
      <w:r>
        <w:rPr>
          <w:rFonts w:cs="Times New Roman" w:hint="eastAsia" w:ascii="Times New Roman" w:hAnsi="Times New Roman"/>
        </w:rPr>
        <w:t>2022</w:t>
      </w:r>
      <w:r>
        <w:rPr>
          <w:rFonts w:ascii="Times New Roman" w:hAnsi="Times New Roman" w:cs="Times New Roman" w:hint="eastAsia"/>
        </w:rPr>
        <w:t>年</w:t>
      </w:r>
      <w:r>
        <w:rPr>
          <w:rFonts w:cs="Times New Roman" w:hint="eastAsia" w:ascii="Times New Roman" w:hAnsi="Times New Roman"/>
        </w:rPr>
        <w:t>7</w:t>
      </w:r>
      <w:r>
        <w:rPr>
          <w:rFonts w:ascii="Times New Roman" w:hAnsi="Times New Roman" w:cs="Times New Roman" w:hint="eastAsia"/>
        </w:rPr>
        <w:t>月</w:t>
      </w:r>
      <w:r>
        <w:rPr>
          <w:rFonts w:cs="Times New Roman" w:hint="eastAsia" w:ascii="Times New Roman" w:hAnsi="Times New Roman"/>
        </w:rPr>
        <w:t>1</w:t>
      </w:r>
      <w:r>
        <w:rPr>
          <w:rFonts w:ascii="Times New Roman" w:hAnsi="Times New Roman" w:cs="Times New Roman" w:hint="eastAsia"/>
        </w:rPr>
        <w:t>日起施行。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《南通市濠河风景名胜区条例》根据本决定作相应修改，重新公布。</w:t>
      </w:r>
    </w:p>
    <w:p>
      <w:pPr>
        <w:pStyle w:val="Normal"/>
        <w:ind w:firstLineChars="0" w:firstLine="0" w:endChars="0" w:end="0"/>
        <w:rPr>
          <w:rFonts w:ascii="Times New Roman" w:hAnsi="Times New Roman" w:cs="Times New Roman" w:hint="eastAsia"/>
        </w:rPr>
      </w:pPr>
      <w:r>
        <w:rPr>
          <w:rFonts w:cs="Times New Roman" w:hint="eastAsia" w:ascii="Times New Roman" w:hAnsi="Times New Roman"/>
        </w:rPr>
      </w:r>
    </w:p>
    <w:p>
      <w:pPr>
        <w:pStyle w:val="Normal"/>
        <w:ind w:firstLineChars="0" w:firstLine="0" w:endChars="0" w:end="0"/>
        <w:rPr>
          <w:rFonts w:ascii="Times New Roman" w:hAnsi="Times New Roman" w:cs="Times New Roman" w:hint="eastAsia"/>
        </w:rPr>
      </w:pPr>
      <w:r>
        <w:rPr>
          <w:rFonts w:cs="Times New Roman" w:hint="eastAsia" w:ascii="Times New Roman" w:hAnsi="Times New Roman"/>
        </w:rPr>
      </w:r>
    </w:p>
    <w:p>
      <w:pPr>
        <w:pStyle w:val="Normal"/>
        <w:tabs>
          <w:tab w:val="clear" w:pos="425"/>
          <w:tab w:val="left" w:pos="7200" w:leader="none"/>
          <w:tab w:val="left" w:pos="7740" w:leader="none"/>
        </w:tabs>
        <w:spacing w:lineRule="exact" w:line="20"/>
        <w:ind w:endChars="0" w:end="0"/>
        <w:rPr>
          <w:rFonts w:ascii="Times New Roman" w:hAnsi="Times New Roman" w:eastAsia="宋体" w:cs="Times New Roman" w:hint="eastAsia"/>
          <w:b/>
          <w:color w:val="000000"/>
          <w:sz w:val="54"/>
          <w:szCs w:val="54"/>
        </w:rPr>
      </w:pPr>
      <w:r>
        <w:rPr>
          <w:rFonts w:eastAsia="宋体" w:cs="Times New Roman" w:hint="eastAsia" w:ascii="Times New Roman" w:hAnsi="Times New Roman"/>
          <w:b/>
          <w:color w:val="000000"/>
          <w:sz w:val="54"/>
          <w:szCs w:val="54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531" w:right="1531" w:gutter="0" w:header="567" w:top="1985" w:footer="1701" w:bottom="1814"/>
      <w:pgNumType w:start="1" w:fmt="decimal"/>
      <w:formProt w:val="false"/>
      <w:textDirection w:val="lrTb"/>
      <w:docGrid w:type="default" w:linePitch="572" w:charSpace="429496668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">
    <w:altName w:val="Times New Roman"/>
    <w:charset w:val="00" w:characterSet="windows-1252"/>
    <w:family w:val="roman"/>
    <w:pitch w:val="default"/>
  </w:font>
  <w:font w:name="Arial">
    <w:charset w:val="01"/>
    <w:family w:val="swiss"/>
    <w:pitch w:val="default"/>
  </w:font>
  <w:font w:name="ˎ̥">
    <w:altName w:val="Times New Roman"/>
    <w:charset w:val="00" w:characterSet="windows-1252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仿宋_GB2312">
    <w:charset w:val="86"/>
    <w:family w:val="modern"/>
    <w:pitch w:val="default"/>
  </w:font>
  <w:font w:name="方正黑体简体">
    <w:charset w:val="86"/>
    <w:family w:val="script"/>
    <w:pitch w:val="default"/>
  </w:font>
  <w:font w:name="Calibri">
    <w:charset w:val="00" w:characterSet="windows-1252"/>
    <w:family w:val="swiss"/>
    <w:pitch w:val="default"/>
  </w:font>
  <w:font w:name="方正小标宋_GBK">
    <w:altName w:val="微软雅黑"/>
    <w:charset w:val="86"/>
    <w:family w:val="script"/>
    <w:pitch w:val="default"/>
  </w:font>
  <w:font w:name="方正仿宋_GBK">
    <w:altName w:val="微软雅黑"/>
    <w:charset w:val="86"/>
    <w:family w:val="script"/>
    <w:pitch w:val="default"/>
  </w:font>
  <w:font w:name="Tahoma">
    <w:charset w:val="00" w:characterSet="windows-1252"/>
    <w:family w:val="swiss"/>
    <w:pitch w:val="default"/>
  </w:font>
  <w:font w:name="方正楷体简体">
    <w:charset w:val="86"/>
    <w:family w:val="script"/>
    <w:pitch w:val="default"/>
  </w:font>
  <w:font w:name="方正楷体_GBK">
    <w:altName w:val="微软雅黑"/>
    <w:charset w:val="86"/>
    <w:family w:val="script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6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03885" cy="508000"/>
              <wp:effectExtent l="0" t="0" r="0" b="0"/>
              <wp:wrapSquare wrapText="bothSides"/>
              <wp:docPr id="1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3885" cy="508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100" w:endChars="0" w:end="0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7.55pt;height:40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100" w:endChars="0" w:end="0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4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4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03885" cy="254000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3885" cy="254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5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─  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7.55pt;height:20pt;mso-wrap-distance-left:0pt;mso-wrap-distance-right:0pt;mso-wrap-distance-top:0pt;mso-wrap-distance-bottom:0pt;margin-top:0.05pt;mso-position-vertical-relative:text;margin-left:394.65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5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─  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5"/>
  <w:trackRevisions/>
  <w:defaultTabStop w:val="425"/>
  <w:autoHyphenation w:val="true"/>
  <w:hyphenationZone w:val="0"/>
  <w:evenAndOddHeaders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bidi w:val="0"/>
      <w:snapToGrid w:val="false"/>
      <w:spacing w:lineRule="exact" w:line="590"/>
      <w:ind w:firstLineChars="200" w:startChars="0" w:start="0" w:endChars="0" w:end="0"/>
      <w:jc w:val="both"/>
    </w:pPr>
    <w:rPr>
      <w:rFonts w:ascii="Times;Times New Roman" w:hAnsi="Times;Times New Roman" w:eastAsia="仿宋_GB2312" w:cs="Times;Times New Roman"/>
      <w:color w:val="auto"/>
      <w:kern w:val="2"/>
      <w:sz w:val="32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tLeast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tLeast" w:line="416" w:before="260" w:after="260"/>
      <w:outlineLvl w:val="1"/>
    </w:pPr>
    <w:rPr>
      <w:rFonts w:ascii="Arial" w:hAnsi="Arial" w:eastAsia="黑体" w:cs="Arial"/>
      <w:b/>
      <w:bCs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tLeast" w:line="416" w:before="260" w:after="260"/>
      <w:outlineLvl w:val="2"/>
    </w:pPr>
    <w:rPr>
      <w:b/>
      <w:bCs/>
      <w:szCs w:val="32"/>
    </w:rPr>
  </w:style>
  <w:style w:type="character" w:styleId="Style11">
    <w:name w:val="默认段落字体"/>
    <w:qFormat/>
    <w:rPr/>
  </w:style>
  <w:style w:type="character" w:styleId="Strong">
    <w:name w:val="Strong"/>
    <w:basedOn w:val="Style11"/>
    <w:qFormat/>
    <w:rPr>
      <w:b/>
      <w:bCs/>
    </w:rPr>
  </w:style>
  <w:style w:type="character" w:styleId="Hyperlink">
    <w:name w:val="Hyperlink"/>
    <w:rPr>
      <w:rFonts w:ascii="ˎ̥;Times New Roman" w:hAnsi="ˎ̥;Times New Roman" w:cs="ˎ̥;Times New Roman"/>
      <w:strike w:val="false"/>
      <w:dstrike w:val="false"/>
      <w:color w:val="0404B3"/>
      <w:sz w:val="18"/>
      <w:szCs w:val="18"/>
      <w:u w:val="none"/>
    </w:rPr>
  </w:style>
  <w:style w:type="character" w:styleId="PageNumber">
    <w:name w:val="page number"/>
    <w:basedOn w:val="Style11"/>
    <w:rPr/>
  </w:style>
  <w:style w:type="character" w:styleId="CharChar">
    <w:name w:val=" Char Char"/>
    <w:basedOn w:val="Style11"/>
    <w:qFormat/>
    <w:rPr>
      <w:rFonts w:ascii="宋体" w:hAnsi="宋体" w:eastAsia="宋体" w:cs="Courier New"/>
      <w:kern w:val="2"/>
      <w:sz w:val="21"/>
      <w:szCs w:val="21"/>
      <w:lang w:bidi="ar-SA"/>
    </w:rPr>
  </w:style>
  <w:style w:type="character" w:styleId="NormalCharacter">
    <w:name w:val="NormalCharacte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pacing w:lineRule="atLeast" w:line="400"/>
      <w:ind w:firstLineChars="0" w:firstLine="0" w:startChars="0" w:start="0" w:endChars="0" w:end="0"/>
      <w:jc w:val="start"/>
    </w:pPr>
    <w:rPr>
      <w:sz w:val="30"/>
    </w:rPr>
  </w:style>
  <w:style w:type="paragraph" w:styleId="BodyTextIndent">
    <w:name w:val="Body Text Indent"/>
    <w:basedOn w:val="Normal"/>
    <w:pPr>
      <w:autoSpaceDE w:val="false"/>
      <w:spacing w:lineRule="exact" w:line="500"/>
      <w:ind w:firstLineChars="200" w:startChars="0" w:start="0" w:endChars="0" w:end="0"/>
    </w:pPr>
    <w:rPr>
      <w:rFonts w:ascii="仿宋_GB2312" w:hAnsi="仿宋_GB2312"/>
      <w:spacing w:val="-6"/>
    </w:rPr>
  </w:style>
  <w:style w:type="paragraph" w:styleId="2">
    <w:name w:val="正文文本缩进 2"/>
    <w:basedOn w:val="Normal"/>
    <w:qFormat/>
    <w:pPr>
      <w:overflowPunct w:val="true"/>
      <w:autoSpaceDE w:val="false"/>
      <w:spacing w:lineRule="atLeast" w:line="567"/>
      <w:ind w:hangingChars="400" w:startChars="0" w:start="0" w:endChars="0" w:end="0"/>
    </w:pPr>
    <w:rPr>
      <w:sz w:val="28"/>
    </w:rPr>
  </w:style>
  <w:style w:type="paragraph" w:styleId="3">
    <w:name w:val="正文文本缩进 3"/>
    <w:basedOn w:val="Normal"/>
    <w:qFormat/>
    <w:pPr>
      <w:overflowPunct w:val="true"/>
      <w:snapToGrid w:val="true"/>
      <w:spacing w:lineRule="exact" w:line="440"/>
      <w:ind w:firstLineChars="192" w:startChars="0" w:start="0" w:endChars="0" w:end="0"/>
    </w:pPr>
    <w:rPr>
      <w:rFonts w:ascii="Times New Roman" w:hAnsi="Times New Roman" w:eastAsia="宋体"/>
      <w:sz w:val="28"/>
      <w:szCs w:val="24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pacing w:lineRule="atLeast" w:line="240"/>
      <w:jc w:val="center"/>
    </w:pPr>
    <w:rPr>
      <w:sz w:val="18"/>
      <w:szCs w:val="18"/>
    </w:rPr>
  </w:style>
  <w:style w:type="paragraph" w:styleId="Style12">
    <w:name w:val="日期"/>
    <w:basedOn w:val="Normal"/>
    <w:next w:val="Normal"/>
    <w:qFormat/>
    <w:pPr>
      <w:overflowPunct w:val="true"/>
      <w:snapToGrid w:val="true"/>
      <w:spacing w:lineRule="auto" w:line="240"/>
      <w:ind w:firstLineChars="200" w:startChars="2500" w:endChars="0" w:end="0"/>
    </w:pPr>
    <w:rPr>
      <w:rFonts w:ascii="Times New Roman" w:hAnsi="Times New Roman" w:eastAsia="宋体"/>
      <w:b/>
      <w:bCs/>
      <w:sz w:val="28"/>
      <w:szCs w:val="24"/>
    </w:rPr>
  </w:style>
  <w:style w:type="paragraph" w:styleId="Style71">
    <w:name w:val="_Style 7"/>
    <w:basedOn w:val="Normal"/>
    <w:qFormat/>
    <w:pPr>
      <w:widowControl/>
      <w:spacing w:lineRule="exact" w:line="240" w:before="0" w:after="160"/>
      <w:jc w:val="start"/>
    </w:pPr>
    <w:rPr/>
  </w:style>
  <w:style w:type="paragraph" w:styleId="Style13">
    <w:name w:val="普通(网站)"/>
    <w:basedOn w:val="Normal"/>
    <w:qFormat/>
    <w:pPr>
      <w:widowControl/>
      <w:overflowPunct w:val="true"/>
      <w:snapToGrid w:val="true"/>
      <w:spacing w:lineRule="auto" w:line="240" w:before="100" w:after="100"/>
      <w:ind w:firstLineChars="0" w:firstLine="0" w:startChars="0" w:start="0" w:endChars="0" w:end="0"/>
      <w:jc w:val="start"/>
    </w:pPr>
    <w:rPr>
      <w:rFonts w:ascii="宋体" w:hAnsi="宋体" w:eastAsia="方正仿宋简体" w:cs="宋体"/>
      <w:color w:val="000000"/>
      <w:kern w:val="0"/>
      <w:sz w:val="24"/>
      <w:szCs w:val="32"/>
    </w:rPr>
  </w:style>
  <w:style w:type="paragraph" w:styleId="Style14">
    <w:name w:val="纯文本"/>
    <w:basedOn w:val="Normal"/>
    <w:qFormat/>
    <w:pPr>
      <w:overflowPunct w:val="true"/>
      <w:snapToGrid w:val="true"/>
      <w:spacing w:lineRule="auto" w:line="240"/>
      <w:ind w:firstLineChars="0" w:firstLine="0" w:startChars="0" w:start="0" w:endChars="0" w:end="0"/>
    </w:pPr>
    <w:rPr>
      <w:rFonts w:ascii="宋体" w:hAnsi="宋体" w:eastAsia="宋体" w:cs="Courier New"/>
      <w:sz w:val="21"/>
      <w:szCs w:val="21"/>
    </w:rPr>
  </w:style>
  <w:style w:type="paragraph" w:styleId="31">
    <w:name w:val="标题3"/>
    <w:basedOn w:val="Normal"/>
    <w:next w:val="Normal"/>
    <w:qFormat/>
    <w:pPr/>
    <w:rPr>
      <w:rFonts w:ascii="方正黑体简体" w:hAnsi="方正黑体简体" w:eastAsia="方正黑体简体"/>
    </w:rPr>
  </w:style>
  <w:style w:type="paragraph" w:styleId="msonormalcxspmiddle">
    <w:name w:val="msonormal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msoplaintextcxspmiddle">
    <w:name w:val="msoplaintext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Style15">
    <w:name w:val="抄送栏"/>
    <w:basedOn w:val="Normal"/>
    <w:qFormat/>
    <w:pPr>
      <w:snapToGrid w:val="true"/>
      <w:ind w:firstLineChars="200" w:startChars="0" w:start="0" w:endChars="0" w:end="0"/>
    </w:pPr>
    <w:rPr/>
  </w:style>
  <w:style w:type="paragraph" w:styleId="p0">
    <w:name w:val="p0"/>
    <w:basedOn w:val="Normal"/>
    <w:qFormat/>
    <w:pPr>
      <w:widowControl/>
    </w:pPr>
    <w:rPr>
      <w:rFonts w:ascii="Calibri" w:hAnsi="Calibri" w:cs="宋体"/>
      <w:kern w:val="0"/>
      <w:szCs w:val="21"/>
    </w:rPr>
  </w:style>
  <w:style w:type="paragraph" w:styleId="msoplaintextcxsplast">
    <w:name w:val="msoplaintext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4">
    <w:name w:val="标题4"/>
    <w:basedOn w:val="31"/>
    <w:next w:val="Normal"/>
    <w:qFormat/>
    <w:pPr>
      <w:jc w:val="center"/>
    </w:pPr>
    <w:rPr/>
  </w:style>
  <w:style w:type="paragraph" w:styleId="1">
    <w:name w:val="标题1"/>
    <w:basedOn w:val="Normal"/>
    <w:next w:val="Normal"/>
    <w:qFormat/>
    <w:pPr>
      <w:tabs>
        <w:tab w:val="clear" w:pos="425"/>
        <w:tab w:val="left" w:pos="9193" w:leader="none"/>
        <w:tab w:val="left" w:pos="9827" w:leader="none"/>
      </w:tabs>
      <w:autoSpaceDE w:val="false"/>
      <w:spacing w:lineRule="atLeast" w:line="760"/>
      <w:ind w:firstLineChars="0" w:firstLine="0" w:startChars="0" w:start="0" w:endChars="0" w:end="0"/>
      <w:jc w:val="center"/>
    </w:pPr>
    <w:rPr>
      <w:rFonts w:ascii="方正小标宋_GBK;微软雅黑" w:hAnsi="方正小标宋_GBK;微软雅黑" w:eastAsia="方正小标宋简体"/>
      <w:sz w:val="44"/>
    </w:rPr>
  </w:style>
  <w:style w:type="paragraph" w:styleId="10511">
    <w:name w:val="样式 样式 样式 文号 + 段后: 1 行 + 段后: 0.5 行 + 段后: 1 行1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楷体_GB2312" w:cs="宋体"/>
    </w:rPr>
  </w:style>
  <w:style w:type="paragraph" w:styleId="msonormalcxsplast">
    <w:name w:val="msonormal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方正仿宋_GBK;微软雅黑" w:hAnsi="方正仿宋_GBK;微软雅黑" w:eastAsia="方正仿宋_GBK;微软雅黑" w:cs="方正仿宋_GBK;微软雅黑" w:hint="eastAsia"/>
      <w:color w:val="000000"/>
      <w:sz w:val="24"/>
      <w:szCs w:val="22"/>
      <w:lang w:bidi="ar-SA" w:val="en-US" w:eastAsia="zh-CN"/>
    </w:rPr>
  </w:style>
  <w:style w:type="paragraph" w:styleId="NoSpacing">
    <w:name w:val="No Spacing"/>
    <w:qFormat/>
    <w:pPr>
      <w:widowControl/>
      <w:bidi w:val="0"/>
      <w:snapToGrid w:val="false"/>
    </w:pPr>
    <w:rPr>
      <w:rFonts w:ascii="Tahoma" w:hAnsi="Tahoma" w:eastAsia="微软雅黑" w:cs="Tahoma"/>
      <w:color w:val="auto"/>
      <w:sz w:val="22"/>
      <w:szCs w:val="22"/>
      <w:lang w:bidi="ar-SA" w:val="en-US" w:eastAsia="zh-CN"/>
    </w:rPr>
  </w:style>
  <w:style w:type="paragraph" w:styleId="5">
    <w:name w:val="标题5"/>
    <w:basedOn w:val="Normal"/>
    <w:next w:val="Normal"/>
    <w:qFormat/>
    <w:pPr/>
    <w:rPr>
      <w:rFonts w:ascii="方正楷体简体" w:hAnsi="方正楷体简体" w:eastAsia="方正楷体简体"/>
    </w:rPr>
  </w:style>
  <w:style w:type="paragraph" w:styleId="510633">
    <w:name w:val="样式 样式 样式 样式 样式 样式 样式 样式 样式 文头 + 段前: 5 行 段后: 1 行 + 首行缩进:  0.63 厘米...3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微软简标宋;宋体" w:cs="宋体"/>
      <w:spacing w:val="30"/>
      <w:w w:val="55"/>
      <w:sz w:val="100"/>
    </w:rPr>
  </w:style>
  <w:style w:type="paragraph" w:styleId="Style16">
    <w:name w:val="列出段落"/>
    <w:basedOn w:val="Normal"/>
    <w:qFormat/>
    <w:pPr>
      <w:snapToGrid w:val="true"/>
      <w:spacing w:lineRule="auto" w:line="240"/>
      <w:ind w:firstLineChars="200" w:startChars="0" w:start="0" w:endChars="0" w:end="0"/>
    </w:pPr>
    <w:rPr>
      <w:rFonts w:ascii="Calibri" w:hAnsi="Calibri" w:eastAsia="宋体" w:cs="Calibri"/>
      <w:sz w:val="21"/>
      <w:szCs w:val="22"/>
    </w:rPr>
  </w:style>
  <w:style w:type="paragraph" w:styleId="21">
    <w:name w:val="标题2"/>
    <w:basedOn w:val="Normal"/>
    <w:next w:val="Normal"/>
    <w:qFormat/>
    <w:pPr>
      <w:ind w:firstLineChars="0" w:firstLine="0" w:startChars="0" w:start="0" w:endChars="0" w:end="0"/>
      <w:jc w:val="center"/>
    </w:pPr>
    <w:rPr>
      <w:rFonts w:ascii="方正楷体_GBK;微软雅黑" w:hAnsi="方正楷体_GBK;微软雅黑" w:eastAsia="楷体_GB2312" w:cs="Book Antiqua;Segoe Print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A4(GB2312字体)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2022-06-13T15:54:00Z</dcterms:created>
  <dc:creator>admin</dc:creator>
  <dc:description/>
  <dc:language>en-US</dc:language>
  <cp:lastModifiedBy>何正喜</cp:lastModifiedBy>
  <cp:lastPrinted>2022-06-13T15:53:00Z</cp:lastPrinted>
  <dcterms:modified xsi:type="dcterms:W3CDTF">2022-06-22T15:41:15Z</dcterms:modified>
  <cp:revision>19</cp:revision>
  <dc:subject/>
  <dc:title>公文通报模板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2052-9.1.0.4940</vt:lpwstr>
  </property>
</Properties>
</file>