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90"/>
        <w:rPr>
          <w:rFonts w:cs="宋体"/>
        </w:rPr>
      </w:pPr>
      <w:r>
        <w:rPr>
          <w:rFonts w:cs="宋体"/>
        </w:rPr>
      </w:r>
      <w:bookmarkStart w:id="0" w:name="_Hlk11844945"/>
    </w:p>
    <w:p>
      <w:pPr>
        <w:pStyle w:val="Style14"/>
        <w:spacing w:lineRule="exact" w:line="590"/>
        <w:rPr>
          <w:rFonts w:cs="宋体" w:hint="eastAsia"/>
        </w:rPr>
      </w:pPr>
      <w:r>
        <w:rPr>
          <w:rFonts w:cs="宋体" w:hint="eastAsia"/>
        </w:rPr>
      </w:r>
    </w:p>
    <w:p>
      <w:pPr>
        <w:pStyle w:val="Heading"/>
        <w:spacing w:before="0" w:after="0"/>
        <w:ind w:firstLineChars="0" w:firstLine="0" w:endChars="0" w:end="0"/>
        <w:rPr>
          <w:rFonts w:ascii="宋体" w:hAnsi="宋体" w:eastAsia="宋体" w:cs="宋体" w:hint="eastAsia"/>
          <w:b w:val="false"/>
          <w:sz w:val="44"/>
          <w:szCs w:val="44"/>
        </w:rPr>
      </w:pPr>
      <w:r>
        <w:rPr>
          <w:rFonts w:ascii="宋体" w:hAnsi="宋体" w:cs="宋体" w:hint="eastAsia" w:eastAsia="宋体"/>
          <w:b w:val="false"/>
          <w:sz w:val="44"/>
          <w:szCs w:val="44"/>
        </w:rPr>
        <w:t>无锡市养老机构条例</w:t>
      </w:r>
    </w:p>
    <w:p>
      <w:pPr>
        <w:pStyle w:val="Normal"/>
        <w:ind w:endChars="0" w:end="0"/>
        <w:rPr>
          <w:rFonts w:ascii="楷体_GB2312" w:hAnsi="楷体_GB2312" w:eastAsia="楷体_GB2312" w:cs="宋体" w:hint="eastAsia"/>
          <w:b w:val="false"/>
          <w:sz w:val="44"/>
          <w:szCs w:val="32"/>
        </w:rPr>
      </w:pPr>
      <w:r>
        <w:rPr>
          <w:rFonts w:eastAsia="楷体_GB2312" w:cs="宋体" w:hint="eastAsia" w:ascii="楷体_GB2312" w:hAnsi="楷体_GB2312"/>
          <w:b w:val="false"/>
          <w:sz w:val="44"/>
          <w:szCs w:val="32"/>
        </w:rPr>
      </w:r>
    </w:p>
    <w:p>
      <w:pPr>
        <w:pStyle w:val="Heading"/>
        <w:spacing w:before="0" w:after="0"/>
        <w:ind w:firstLineChars="0" w:firstLine="0" w:startChars="200" w:endChars="200"/>
        <w:jc w:val="both"/>
        <w:outlineLvl w:val="9"/>
        <w:rPr>
          <w:rFonts w:ascii="Times New Roman" w:hAnsi="Times New Roman" w:eastAsia="楷体_GB2312" w:cs="Times New Roman"/>
          <w:b w:val="false"/>
          <w:color w:val="000000"/>
          <w:szCs w:val="32"/>
        </w:rPr>
      </w:pPr>
      <w:r>
        <w:rPr>
          <w:rFonts w:ascii="Times New Roman" w:hAnsi="Times New Roman" w:cs="Times New Roman" w:eastAsia="楷体_GB2312"/>
          <w:b w:val="false"/>
          <w:color w:val="000000"/>
          <w:szCs w:val="32"/>
        </w:rPr>
        <w:t>（</w:t>
      </w:r>
      <w:r>
        <w:rPr>
          <w:rFonts w:eastAsia="楷体_GB2312" w:cs="Times New Roman" w:ascii="Times New Roman" w:hAnsi="Times New Roman"/>
          <w:b w:val="false"/>
          <w:color w:val="000000"/>
          <w:szCs w:val="32"/>
        </w:rPr>
        <w:t>2014</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12</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19</w:t>
      </w:r>
      <w:r>
        <w:rPr>
          <w:rFonts w:ascii="Times New Roman" w:hAnsi="Times New Roman" w:cs="Times New Roman" w:eastAsia="楷体_GB2312"/>
          <w:b w:val="false"/>
          <w:color w:val="000000"/>
          <w:szCs w:val="32"/>
        </w:rPr>
        <w:t xml:space="preserve">日无锡市第十五届人民代表大会常务委员会第二十次会议通过  </w:t>
      </w:r>
      <w:r>
        <w:rPr>
          <w:rFonts w:eastAsia="楷体_GB2312" w:cs="Times New Roman" w:ascii="Times New Roman" w:hAnsi="Times New Roman"/>
          <w:b w:val="false"/>
          <w:color w:val="000000"/>
          <w:szCs w:val="32"/>
        </w:rPr>
        <w:t>2015</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1</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16</w:t>
      </w:r>
      <w:r>
        <w:rPr>
          <w:rFonts w:ascii="Times New Roman" w:hAnsi="Times New Roman" w:cs="Times New Roman" w:eastAsia="楷体_GB2312"/>
          <w:b w:val="false"/>
          <w:color w:val="000000"/>
          <w:szCs w:val="32"/>
        </w:rPr>
        <w:t xml:space="preserve">日江苏省第十二届人民代表大会常务委员会第十四次会议批准 </w:t>
      </w:r>
      <w:r>
        <w:rPr>
          <w:rFonts w:ascii="Times New Roman" w:hAnsi="Times New Roman" w:cs="Times New Roman" w:hint="eastAsia" w:eastAsia="楷体_GB2312"/>
          <w:b w:val="false"/>
          <w:color w:val="000000"/>
          <w:szCs w:val="32"/>
        </w:rPr>
        <w:t xml:space="preserve"> </w:t>
      </w:r>
      <w:r>
        <w:rPr>
          <w:rFonts w:ascii="Times New Roman" w:hAnsi="Times New Roman" w:cs="Times New Roman" w:eastAsia="楷体_GB2312"/>
          <w:b w:val="false"/>
          <w:color w:val="000000"/>
          <w:szCs w:val="32"/>
        </w:rPr>
        <w:t>根据</w:t>
      </w:r>
      <w:r>
        <w:rPr>
          <w:rFonts w:eastAsia="楷体_GB2312" w:cs="Times New Roman" w:ascii="Times New Roman" w:hAnsi="Times New Roman"/>
          <w:b w:val="false"/>
          <w:color w:val="000000"/>
          <w:szCs w:val="32"/>
        </w:rPr>
        <w:t>2020</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7</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1</w:t>
      </w:r>
      <w:r>
        <w:rPr>
          <w:rFonts w:ascii="Times New Roman" w:hAnsi="Times New Roman" w:cs="Times New Roman" w:eastAsia="楷体_GB2312"/>
          <w:b w:val="false"/>
          <w:color w:val="000000"/>
          <w:szCs w:val="32"/>
        </w:rPr>
        <w:t>日无锡市第十六届人民代表大会常务委员会第三十次会议通过，</w:t>
      </w:r>
      <w:r>
        <w:rPr>
          <w:rFonts w:eastAsia="楷体_GB2312" w:cs="Times New Roman" w:ascii="Times New Roman" w:hAnsi="Times New Roman"/>
          <w:b w:val="false"/>
          <w:color w:val="000000"/>
          <w:szCs w:val="32"/>
        </w:rPr>
        <w:t>2020</w:t>
      </w:r>
      <w:r>
        <w:rPr>
          <w:rFonts w:ascii="Times New Roman" w:hAnsi="Times New Roman" w:cs="Times New Roman" w:eastAsia="楷体_GB2312"/>
          <w:b w:val="false"/>
          <w:color w:val="000000"/>
          <w:szCs w:val="32"/>
        </w:rPr>
        <w:t>年</w:t>
      </w:r>
      <w:r>
        <w:rPr>
          <w:rFonts w:eastAsia="楷体_GB2312" w:cs="Times New Roman" w:ascii="Times New Roman" w:hAnsi="Times New Roman"/>
          <w:b w:val="false"/>
          <w:color w:val="000000"/>
          <w:szCs w:val="32"/>
        </w:rPr>
        <w:t>7</w:t>
      </w:r>
      <w:r>
        <w:rPr>
          <w:rFonts w:ascii="Times New Roman" w:hAnsi="Times New Roman" w:cs="Times New Roman" w:eastAsia="楷体_GB2312"/>
          <w:b w:val="false"/>
          <w:color w:val="000000"/>
          <w:szCs w:val="32"/>
        </w:rPr>
        <w:t>月</w:t>
      </w:r>
      <w:r>
        <w:rPr>
          <w:rFonts w:eastAsia="楷体_GB2312" w:cs="Times New Roman" w:ascii="Times New Roman" w:hAnsi="Times New Roman"/>
          <w:b w:val="false"/>
          <w:color w:val="000000"/>
          <w:szCs w:val="32"/>
        </w:rPr>
        <w:t>31</w:t>
      </w:r>
      <w:r>
        <w:rPr>
          <w:rFonts w:ascii="Times New Roman" w:hAnsi="Times New Roman" w:cs="Times New Roman" w:eastAsia="楷体_GB2312"/>
          <w:b w:val="false"/>
          <w:color w:val="000000"/>
          <w:szCs w:val="32"/>
        </w:rPr>
        <w:t>日江苏省第十三届人民代表大会常务委员会第十七次会议批准的《关于修改</w:t>
      </w:r>
      <w:r>
        <w:rPr>
          <w:rFonts w:ascii="Times New Roman" w:hAnsi="Times New Roman" w:cs="Times New Roman" w:hint="eastAsia" w:eastAsia="楷体_GB2312"/>
          <w:b w:val="false"/>
          <w:color w:val="000000"/>
          <w:szCs w:val="32"/>
        </w:rPr>
        <w:t>〈</w:t>
      </w:r>
      <w:r>
        <w:rPr>
          <w:rFonts w:ascii="Times New Roman" w:hAnsi="Times New Roman" w:cs="Times New Roman" w:eastAsia="楷体_GB2312"/>
          <w:b w:val="false"/>
          <w:color w:val="000000"/>
          <w:szCs w:val="32"/>
        </w:rPr>
        <w:t>无锡市养老机构条例</w:t>
      </w:r>
      <w:r>
        <w:rPr>
          <w:rFonts w:ascii="Times New Roman" w:hAnsi="Times New Roman" w:cs="Times New Roman" w:hint="eastAsia" w:eastAsia="楷体_GB2312"/>
          <w:b w:val="false"/>
          <w:color w:val="000000"/>
          <w:szCs w:val="32"/>
        </w:rPr>
        <w:t>〉</w:t>
      </w:r>
      <w:r>
        <w:rPr>
          <w:rFonts w:ascii="Times New Roman" w:hAnsi="Times New Roman" w:cs="Times New Roman" w:eastAsia="楷体_GB2312"/>
          <w:b w:val="false"/>
          <w:color w:val="000000"/>
          <w:szCs w:val="32"/>
        </w:rPr>
        <w:t>的决定》修正）</w:t>
      </w:r>
    </w:p>
    <w:p>
      <w:pPr>
        <w:pStyle w:val="Normal"/>
        <w:ind w:endChars="0" w:end="0"/>
        <w:rPr>
          <w:rFonts w:ascii="楷体_GB2312" w:hAnsi="楷体_GB2312" w:eastAsia="楷体_GB2312" w:cs="Cambria" w:hint="eastAsia"/>
          <w:b/>
          <w:color w:val="000000"/>
          <w:szCs w:val="32"/>
        </w:rPr>
      </w:pPr>
      <w:r>
        <w:rPr>
          <w:rFonts w:eastAsia="楷体_GB2312" w:cs="Cambria" w:hint="eastAsia" w:ascii="楷体_GB2312" w:hAnsi="楷体_GB2312"/>
          <w:b/>
          <w:color w:val="000000"/>
          <w:szCs w:val="32"/>
        </w:rPr>
      </w:r>
    </w:p>
    <w:p>
      <w:pPr>
        <w:pStyle w:val="Normal"/>
        <w:ind w:firstLineChars="0" w:firstLine="0" w:endChars="0" w:end="0"/>
        <w:jc w:val="center"/>
        <w:rPr>
          <w:rFonts w:eastAsia="楷体_GB2312"/>
          <w:szCs w:val="32"/>
        </w:rPr>
      </w:pPr>
      <w:r>
        <w:rPr>
          <w:rFonts w:hint="eastAsia" w:eastAsia="楷体_GB2312"/>
          <w:szCs w:val="32"/>
        </w:rPr>
        <w:t>目  录</w:t>
      </w:r>
    </w:p>
    <w:p>
      <w:pPr>
        <w:pStyle w:val="Normal"/>
        <w:ind w:endChars="0" w:end="0"/>
        <w:jc w:val="start"/>
        <w:rPr>
          <w:rFonts w:eastAsia="楷体_GB2312"/>
          <w:szCs w:val="32"/>
        </w:rPr>
      </w:pPr>
      <w:r>
        <w:rPr>
          <w:rFonts w:hint="eastAsia" w:eastAsia="楷体_GB2312"/>
          <w:szCs w:val="32"/>
        </w:rPr>
        <w:t>第一章  总则</w:t>
      </w:r>
    </w:p>
    <w:p>
      <w:pPr>
        <w:pStyle w:val="Normal"/>
        <w:ind w:endChars="0" w:end="0"/>
        <w:jc w:val="start"/>
        <w:rPr>
          <w:rFonts w:eastAsia="楷体_GB2312"/>
          <w:szCs w:val="32"/>
        </w:rPr>
      </w:pPr>
      <w:r>
        <w:rPr>
          <w:rFonts w:hint="eastAsia" w:eastAsia="楷体_GB2312"/>
          <w:szCs w:val="32"/>
        </w:rPr>
        <w:t>第二章  规划建设</w:t>
      </w:r>
    </w:p>
    <w:p>
      <w:pPr>
        <w:pStyle w:val="Normal"/>
        <w:ind w:firstLineChars="0" w:firstLine="0" w:endChars="0" w:end="0"/>
        <w:jc w:val="start"/>
        <w:rPr>
          <w:rFonts w:eastAsia="楷体_GB2312"/>
          <w:szCs w:val="32"/>
        </w:rPr>
      </w:pPr>
      <w:r>
        <w:rPr>
          <w:rFonts w:eastAsia="楷体_GB2312" w:hint="eastAsia"/>
          <w:szCs w:val="32"/>
        </w:rPr>
        <w:t xml:space="preserve">    </w:t>
      </w:r>
      <w:r>
        <w:rPr>
          <w:rFonts w:hint="eastAsia" w:eastAsia="楷体_GB2312"/>
          <w:szCs w:val="32"/>
        </w:rPr>
        <w:t>第三章  设立、变更与终止</w:t>
      </w:r>
    </w:p>
    <w:p>
      <w:pPr>
        <w:pStyle w:val="Normal"/>
        <w:ind w:endChars="0" w:end="0"/>
        <w:jc w:val="start"/>
        <w:rPr>
          <w:rFonts w:eastAsia="楷体_GB2312" w:hint="eastAsia"/>
          <w:szCs w:val="32"/>
        </w:rPr>
      </w:pPr>
      <w:r>
        <w:rPr>
          <w:rFonts w:hint="eastAsia" w:eastAsia="楷体_GB2312"/>
          <w:szCs w:val="32"/>
        </w:rPr>
        <w:t>第四章  扶持发展</w:t>
      </w:r>
    </w:p>
    <w:p>
      <w:pPr>
        <w:pStyle w:val="Normal"/>
        <w:ind w:endChars="0" w:end="0"/>
        <w:jc w:val="start"/>
        <w:rPr>
          <w:rFonts w:eastAsia="楷体_GB2312" w:hint="eastAsia"/>
          <w:szCs w:val="32"/>
        </w:rPr>
      </w:pPr>
      <w:r>
        <w:rPr>
          <w:rFonts w:hint="eastAsia" w:eastAsia="楷体_GB2312"/>
          <w:szCs w:val="32"/>
        </w:rPr>
        <w:t>第五章  服务规范</w:t>
      </w:r>
    </w:p>
    <w:p>
      <w:pPr>
        <w:pStyle w:val="Normal"/>
        <w:ind w:endChars="0" w:end="0"/>
        <w:jc w:val="start"/>
        <w:rPr>
          <w:rFonts w:eastAsia="楷体_GB2312" w:hint="eastAsia"/>
          <w:szCs w:val="32"/>
        </w:rPr>
      </w:pPr>
      <w:r>
        <w:rPr>
          <w:rFonts w:hint="eastAsia" w:eastAsia="楷体_GB2312"/>
          <w:szCs w:val="32"/>
        </w:rPr>
        <w:t>第六章</w:t>
      </w:r>
      <w:r>
        <w:rPr>
          <w:rFonts w:eastAsia="楷体_GB2312"/>
          <w:szCs w:val="32"/>
        </w:rPr>
        <w:t xml:space="preserve">  </w:t>
      </w:r>
      <w:r>
        <w:rPr>
          <w:rFonts w:hint="eastAsia" w:eastAsia="楷体_GB2312"/>
          <w:szCs w:val="32"/>
        </w:rPr>
        <w:t>运营管理</w:t>
      </w:r>
    </w:p>
    <w:p>
      <w:pPr>
        <w:pStyle w:val="Normal"/>
        <w:ind w:endChars="0" w:end="0"/>
        <w:jc w:val="start"/>
        <w:rPr>
          <w:rFonts w:eastAsia="楷体_GB2312"/>
          <w:szCs w:val="32"/>
        </w:rPr>
      </w:pPr>
      <w:r>
        <w:rPr>
          <w:rFonts w:hint="eastAsia" w:eastAsia="楷体_GB2312"/>
          <w:szCs w:val="32"/>
        </w:rPr>
        <w:t>第七章</w:t>
      </w:r>
      <w:r>
        <w:rPr>
          <w:rFonts w:eastAsia="楷体_GB2312"/>
          <w:szCs w:val="32"/>
        </w:rPr>
        <w:t xml:space="preserve">  </w:t>
      </w:r>
      <w:r>
        <w:rPr>
          <w:rFonts w:hint="eastAsia" w:eastAsia="楷体_GB2312"/>
          <w:szCs w:val="32"/>
        </w:rPr>
        <w:t>监督检查</w:t>
      </w:r>
    </w:p>
    <w:p>
      <w:pPr>
        <w:pStyle w:val="Normal"/>
        <w:ind w:endChars="0" w:end="0"/>
        <w:jc w:val="start"/>
        <w:rPr>
          <w:rFonts w:eastAsia="楷体_GB2312"/>
          <w:szCs w:val="32"/>
        </w:rPr>
      </w:pPr>
      <w:r>
        <w:rPr>
          <w:rFonts w:hint="eastAsia" w:eastAsia="楷体_GB2312"/>
          <w:szCs w:val="32"/>
        </w:rPr>
        <w:t>第八章  法律责任</w:t>
      </w:r>
    </w:p>
    <w:p>
      <w:pPr>
        <w:pStyle w:val="Normal"/>
        <w:ind w:endChars="0" w:end="0"/>
        <w:jc w:val="start"/>
        <w:rPr>
          <w:rFonts w:ascii="Times New Roman" w:hAnsi="Times New Roman" w:eastAsia="楷体_GB2312" w:hint="eastAsia"/>
          <w:szCs w:val="32"/>
        </w:rPr>
      </w:pPr>
      <w:r>
        <w:rPr>
          <w:rFonts w:hint="eastAsia" w:eastAsia="楷体_GB2312"/>
          <w:szCs w:val="32"/>
        </w:rPr>
        <w:t>第九章  附则</w:t>
      </w:r>
    </w:p>
    <w:p>
      <w:pPr>
        <w:pStyle w:val="Normal"/>
        <w:ind w:endChars="0" w:end="0"/>
        <w:jc w:val="center"/>
        <w:rPr>
          <w:rFonts w:ascii="Times New Roman" w:hAnsi="Times New Roman" w:eastAsia="黑体" w:hint="eastAsia"/>
          <w:szCs w:val="32"/>
        </w:rPr>
      </w:pPr>
      <w:r>
        <w:rPr>
          <w:rFonts w:eastAsia="黑体" w:hint="eastAsia" w:ascii="Times New Roman" w:hAnsi="Times New Roman"/>
          <w:szCs w:val="32"/>
        </w:rPr>
      </w:r>
    </w:p>
    <w:p>
      <w:pPr>
        <w:pStyle w:val="Normal"/>
        <w:ind w:firstLineChars="0" w:firstLine="0" w:endChars="0" w:end="0"/>
        <w:jc w:val="center"/>
        <w:rPr>
          <w:rFonts w:eastAsia="黑体" w:hint="eastAsia"/>
          <w:szCs w:val="32"/>
        </w:rPr>
      </w:pPr>
      <w:r>
        <w:rPr>
          <w:rFonts w:hint="eastAsia" w:eastAsia="黑体"/>
          <w:szCs w:val="32"/>
        </w:rPr>
        <w:t>第一章</w:t>
      </w:r>
      <w:r>
        <w:rPr>
          <w:rFonts w:eastAsia="黑体"/>
          <w:szCs w:val="32"/>
        </w:rPr>
        <w:t xml:space="preserve">  </w:t>
      </w:r>
      <w:r>
        <w:rPr>
          <w:rFonts w:hint="eastAsia" w:eastAsia="黑体"/>
          <w:szCs w:val="32"/>
        </w:rPr>
        <w:t>总则</w:t>
      </w:r>
    </w:p>
    <w:p>
      <w:pPr>
        <w:pStyle w:val="Normal"/>
        <w:ind w:endChars="0" w:end="0"/>
        <w:jc w:val="center"/>
        <w:rPr>
          <w:rFonts w:eastAsia="黑体" w:hint="eastAsia"/>
          <w:szCs w:val="32"/>
        </w:rPr>
      </w:pPr>
      <w:r>
        <w:rPr>
          <w:rFonts w:eastAsia="黑体" w:hint="eastAsia"/>
          <w:szCs w:val="32"/>
        </w:rPr>
      </w:r>
    </w:p>
    <w:p>
      <w:pPr>
        <w:pStyle w:val="Normal"/>
        <w:ind w:endChars="0" w:end="0"/>
        <w:rPr>
          <w:szCs w:val="32"/>
        </w:rPr>
      </w:pPr>
      <w:r>
        <w:rPr>
          <w:rFonts w:hint="eastAsia" w:eastAsia="黑体"/>
          <w:szCs w:val="32"/>
        </w:rPr>
        <w:t>第一条</w:t>
      </w:r>
      <w:r>
        <w:rPr>
          <w:rFonts w:eastAsia="黑体"/>
          <w:szCs w:val="32"/>
        </w:rPr>
        <w:t xml:space="preserve"> </w:t>
      </w:r>
      <w:r>
        <w:rPr>
          <w:szCs w:val="32"/>
        </w:rPr>
        <w:t xml:space="preserve"> </w:t>
      </w:r>
      <w:r>
        <w:rPr>
          <w:rFonts w:hint="eastAsia"/>
          <w:szCs w:val="32"/>
        </w:rPr>
        <w:t>为了规范养老机构运营和管理，保障入住老年人和养老机构的合法权益，促进养老事业健康发展，根据《中华人民共和国老年人权益保障法》《江苏省老年人权益保障条例》等法律、法规，结合本市实际，制定本条例。</w:t>
      </w:r>
    </w:p>
    <w:p>
      <w:pPr>
        <w:pStyle w:val="Normal"/>
        <w:ind w:endChars="0" w:end="0"/>
        <w:rPr>
          <w:szCs w:val="32"/>
        </w:rPr>
      </w:pPr>
      <w:r>
        <w:rPr>
          <w:rFonts w:hint="eastAsia" w:eastAsia="黑体"/>
          <w:szCs w:val="32"/>
        </w:rPr>
        <w:t>第二条</w:t>
      </w:r>
      <w:r>
        <w:rPr>
          <w:rFonts w:eastAsia="黑体"/>
          <w:szCs w:val="32"/>
        </w:rPr>
        <w:t xml:space="preserve"> </w:t>
      </w:r>
      <w:r>
        <w:rPr>
          <w:szCs w:val="32"/>
        </w:rPr>
        <w:t xml:space="preserve"> </w:t>
      </w:r>
      <w:r>
        <w:rPr>
          <w:rFonts w:hint="eastAsia"/>
          <w:szCs w:val="32"/>
        </w:rPr>
        <w:t>本市行政区域内养老机构的规划建设、设立和终止、扶持发展、服务规范、运营及相关管理，适用本条例。</w:t>
      </w:r>
    </w:p>
    <w:p>
      <w:pPr>
        <w:pStyle w:val="Normal"/>
        <w:ind w:endChars="0" w:end="0"/>
        <w:rPr>
          <w:szCs w:val="32"/>
        </w:rPr>
      </w:pPr>
      <w:r>
        <w:rPr>
          <w:rFonts w:hint="eastAsia" w:eastAsia="黑体"/>
          <w:szCs w:val="32"/>
        </w:rPr>
        <w:t>第三条</w:t>
      </w:r>
      <w:r>
        <w:rPr>
          <w:szCs w:val="32"/>
        </w:rPr>
        <w:t xml:space="preserve">  </w:t>
      </w:r>
      <w:r>
        <w:rPr>
          <w:rFonts w:hint="eastAsia"/>
          <w:szCs w:val="32"/>
        </w:rPr>
        <w:t>本条例所称养老机构，是指为老年人提供集中饮食起居和照料护理服务的机构。</w:t>
      </w:r>
    </w:p>
    <w:p>
      <w:pPr>
        <w:pStyle w:val="Normal"/>
        <w:ind w:endChars="0" w:end="0"/>
        <w:rPr>
          <w:szCs w:val="32"/>
        </w:rPr>
      </w:pPr>
      <w:r>
        <w:rPr>
          <w:rFonts w:hint="eastAsia" w:eastAsia="黑体"/>
          <w:szCs w:val="32"/>
        </w:rPr>
        <w:t>第四条</w:t>
      </w:r>
      <w:r>
        <w:rPr>
          <w:szCs w:val="32"/>
        </w:rPr>
        <w:t xml:space="preserve">  </w:t>
      </w:r>
      <w:r>
        <w:rPr>
          <w:rFonts w:hint="eastAsia"/>
          <w:szCs w:val="32"/>
        </w:rPr>
        <w:t>市、县级市、区人民政府应当根据社会经济发展和社会养老需求状况，将养老机构发展纳入国民经济和社会发展规划，研究、制定和推进养老机构优化发展的扶持政策，保障经费投入，促进养老服务业与经济社会协调发展。</w:t>
      </w:r>
    </w:p>
    <w:p>
      <w:pPr>
        <w:pStyle w:val="Normal"/>
        <w:ind w:endChars="0" w:end="0"/>
        <w:rPr>
          <w:szCs w:val="32"/>
        </w:rPr>
      </w:pPr>
      <w:r>
        <w:rPr>
          <w:rFonts w:hint="eastAsia"/>
          <w:szCs w:val="32"/>
        </w:rPr>
        <w:t>各级人民政府应当通过投资兴办养老机构、购买服务等方式，为政府供养的无劳动能力、无生活来源又无法定赡养和扶养人，或者法定赡养和扶养人无赡养、扶养能力的老年人提供基本养老服务保障。</w:t>
      </w:r>
    </w:p>
    <w:p>
      <w:pPr>
        <w:pStyle w:val="Normal"/>
        <w:ind w:endChars="0" w:end="0"/>
        <w:rPr>
          <w:szCs w:val="32"/>
        </w:rPr>
      </w:pPr>
      <w:r>
        <w:rPr>
          <w:rFonts w:hint="eastAsia" w:eastAsia="黑体"/>
          <w:szCs w:val="32"/>
        </w:rPr>
        <w:t>第五条</w:t>
      </w:r>
      <w:r>
        <w:rPr>
          <w:rFonts w:eastAsia="黑体"/>
          <w:szCs w:val="32"/>
        </w:rPr>
        <w:t xml:space="preserve"> </w:t>
      </w:r>
      <w:r>
        <w:rPr>
          <w:szCs w:val="32"/>
        </w:rPr>
        <w:t xml:space="preserve"> </w:t>
      </w:r>
      <w:r>
        <w:rPr>
          <w:rFonts w:hint="eastAsia"/>
          <w:szCs w:val="32"/>
        </w:rPr>
        <w:t>市、县级市、区民政部门负责本行政区域内养老机构的指导、监督和管理。</w:t>
      </w:r>
    </w:p>
    <w:p>
      <w:pPr>
        <w:pStyle w:val="Normal"/>
        <w:ind w:endChars="0" w:end="0"/>
        <w:rPr>
          <w:szCs w:val="32"/>
        </w:rPr>
      </w:pPr>
      <w:r>
        <w:rPr>
          <w:rFonts w:hint="eastAsia"/>
          <w:szCs w:val="32"/>
        </w:rPr>
        <w:t>发展改革、自然资源规划、住房城乡建设、公安、人力资源社会保障、卫生健康、医疗保障、财政、审计、行政审批、市场监督管理、应急管理等相关部门按照各自职责，共同做好养老机构的发展和监督管理工作。</w:t>
      </w:r>
    </w:p>
    <w:p>
      <w:pPr>
        <w:pStyle w:val="Normal"/>
        <w:ind w:endChars="0" w:end="0"/>
        <w:rPr>
          <w:szCs w:val="32"/>
        </w:rPr>
      </w:pPr>
      <w:r>
        <w:rPr>
          <w:rFonts w:hint="eastAsia" w:eastAsia="黑体"/>
          <w:szCs w:val="32"/>
        </w:rPr>
        <w:t>第六条</w:t>
      </w:r>
      <w:r>
        <w:rPr>
          <w:rFonts w:eastAsia="黑体"/>
          <w:szCs w:val="32"/>
        </w:rPr>
        <w:t xml:space="preserve"> </w:t>
      </w:r>
      <w:r>
        <w:rPr>
          <w:szCs w:val="32"/>
        </w:rPr>
        <w:t xml:space="preserve"> </w:t>
      </w:r>
      <w:r>
        <w:rPr>
          <w:rFonts w:hint="eastAsia"/>
          <w:szCs w:val="32"/>
        </w:rPr>
        <w:t>鼓励社会力量兴办养老机构。</w:t>
      </w:r>
    </w:p>
    <w:p>
      <w:pPr>
        <w:pStyle w:val="Normal"/>
        <w:ind w:endChars="0" w:end="0"/>
        <w:rPr>
          <w:szCs w:val="32"/>
        </w:rPr>
      </w:pPr>
      <w:r>
        <w:rPr>
          <w:rFonts w:hint="eastAsia"/>
          <w:szCs w:val="32"/>
        </w:rPr>
        <w:t>各级人民政府应当通过公建民营、民办公助、合作经营、委托管理等形式，加强向社会资本开放，充分发挥市场机制作用，不断创新养老机构管理运营模式。</w:t>
      </w:r>
    </w:p>
    <w:p>
      <w:pPr>
        <w:pStyle w:val="Normal"/>
        <w:ind w:endChars="0" w:end="0"/>
        <w:rPr>
          <w:szCs w:val="32"/>
        </w:rPr>
      </w:pPr>
      <w:r>
        <w:rPr>
          <w:rFonts w:hint="eastAsia" w:eastAsia="黑体"/>
          <w:szCs w:val="32"/>
        </w:rPr>
        <w:t>第七条</w:t>
      </w:r>
      <w:r>
        <w:rPr>
          <w:szCs w:val="32"/>
        </w:rPr>
        <w:t xml:space="preserve">  </w:t>
      </w:r>
      <w:r>
        <w:rPr>
          <w:rFonts w:hint="eastAsia"/>
          <w:szCs w:val="32"/>
        </w:rPr>
        <w:t>养老机构可以成立或者加入相关行业协会。</w:t>
      </w:r>
    </w:p>
    <w:p>
      <w:pPr>
        <w:pStyle w:val="Normal"/>
        <w:ind w:endChars="0" w:end="0"/>
        <w:rPr>
          <w:szCs w:val="32"/>
        </w:rPr>
      </w:pPr>
      <w:r>
        <w:rPr>
          <w:rFonts w:hint="eastAsia"/>
          <w:szCs w:val="32"/>
        </w:rPr>
        <w:t>相关行业协会应当加强养老机构行业自律和诚信建设，制定或者参与制定技术和服务标准，为养老机构提供信息、培训和咨询服务，协助建立老年人照料护理等级和养老机构第三方评估机制，调解养老机构运营、服务过程中产生的争议，维护入住老年人和养老机构的合法权益。</w:t>
      </w:r>
    </w:p>
    <w:p>
      <w:pPr>
        <w:pStyle w:val="Normal"/>
        <w:ind w:endChars="0" w:end="0"/>
        <w:rPr>
          <w:szCs w:val="32"/>
        </w:rPr>
      </w:pPr>
      <w:r>
        <w:rPr>
          <w:rFonts w:hint="eastAsia" w:eastAsia="黑体"/>
          <w:szCs w:val="32"/>
        </w:rPr>
        <w:t>第八条</w:t>
      </w:r>
      <w:r>
        <w:rPr>
          <w:szCs w:val="32"/>
        </w:rPr>
        <w:t xml:space="preserve">  </w:t>
      </w:r>
      <w:r>
        <w:rPr>
          <w:rFonts w:hint="eastAsia"/>
          <w:szCs w:val="32"/>
        </w:rPr>
        <w:t>鼓励公民、法人和其他组织向养老机构捐赠或者提供志愿服务。</w:t>
      </w:r>
    </w:p>
    <w:p>
      <w:pPr>
        <w:pStyle w:val="Normal"/>
        <w:ind w:endChars="0" w:end="0"/>
        <w:rPr>
          <w:szCs w:val="32"/>
        </w:rPr>
      </w:pPr>
      <w:r>
        <w:rPr>
          <w:rFonts w:hint="eastAsia" w:eastAsia="黑体"/>
          <w:szCs w:val="32"/>
        </w:rPr>
        <w:t>第九条</w:t>
      </w:r>
      <w:r>
        <w:rPr>
          <w:szCs w:val="32"/>
        </w:rPr>
        <w:t xml:space="preserve">  </w:t>
      </w:r>
      <w:r>
        <w:rPr>
          <w:rFonts w:hint="eastAsia"/>
          <w:szCs w:val="32"/>
        </w:rPr>
        <w:t>对在养老机构服务和管理工作中做出显著成绩的公民、法人或者其他组织，各级人民政府应当给予表扬和奖励。</w:t>
      </w:r>
    </w:p>
    <w:p>
      <w:pPr>
        <w:pStyle w:val="Normal"/>
        <w:ind w:endChars="0" w:end="0"/>
        <w:rPr>
          <w:szCs w:val="32"/>
        </w:rPr>
      </w:pPr>
      <w:r>
        <w:rPr>
          <w:szCs w:val="32"/>
        </w:rPr>
      </w:r>
    </w:p>
    <w:p>
      <w:pPr>
        <w:pStyle w:val="Normal"/>
        <w:tabs>
          <w:tab w:val="clear" w:pos="425"/>
          <w:tab w:val="left" w:pos="4260" w:leader="none"/>
        </w:tabs>
        <w:ind w:firstLineChars="0" w:firstLine="0" w:endChars="0" w:end="0"/>
        <w:jc w:val="center"/>
        <w:rPr>
          <w:rFonts w:eastAsia="黑体"/>
          <w:szCs w:val="32"/>
        </w:rPr>
      </w:pPr>
      <w:r>
        <w:rPr>
          <w:rFonts w:hint="eastAsia" w:eastAsia="黑体"/>
          <w:szCs w:val="32"/>
        </w:rPr>
        <w:t>第二章</w:t>
      </w:r>
      <w:r>
        <w:rPr>
          <w:rFonts w:eastAsia="黑体"/>
          <w:szCs w:val="32"/>
        </w:rPr>
        <w:t xml:space="preserve">  </w:t>
      </w:r>
      <w:r>
        <w:rPr>
          <w:rFonts w:hint="eastAsia" w:eastAsia="黑体"/>
          <w:szCs w:val="32"/>
        </w:rPr>
        <w:t>规划建设</w:t>
      </w:r>
    </w:p>
    <w:p>
      <w:pPr>
        <w:pStyle w:val="Normal"/>
        <w:tabs>
          <w:tab w:val="clear" w:pos="425"/>
          <w:tab w:val="left" w:pos="4260" w:leader="none"/>
        </w:tabs>
        <w:ind w:endChars="0" w:end="0"/>
        <w:rPr>
          <w:rFonts w:eastAsia="黑体"/>
          <w:szCs w:val="32"/>
        </w:rPr>
      </w:pPr>
      <w:r>
        <w:rPr>
          <w:rFonts w:eastAsia="黑体"/>
          <w:szCs w:val="32"/>
        </w:rPr>
      </w:r>
    </w:p>
    <w:p>
      <w:pPr>
        <w:pStyle w:val="Normal"/>
        <w:ind w:endChars="0" w:end="0"/>
        <w:rPr>
          <w:rFonts w:hint="eastAsia"/>
          <w:szCs w:val="32"/>
        </w:rPr>
      </w:pPr>
      <w:r>
        <w:rPr>
          <w:rFonts w:hint="eastAsia" w:eastAsia="黑体"/>
          <w:szCs w:val="32"/>
        </w:rPr>
        <w:t>第十条</w:t>
      </w:r>
      <w:bookmarkStart w:id="1" w:name="OLE_LINK1"/>
      <w:r>
        <w:rPr>
          <w:szCs w:val="32"/>
        </w:rPr>
        <w:t xml:space="preserve">  </w:t>
      </w:r>
      <w:r>
        <w:rPr>
          <w:rFonts w:hint="eastAsia"/>
          <w:szCs w:val="32"/>
        </w:rPr>
        <w:t>市、县级市</w:t>
      </w:r>
      <w:bookmarkEnd w:id="1"/>
      <w:r>
        <w:rPr>
          <w:rFonts w:hint="eastAsia"/>
          <w:szCs w:val="32"/>
        </w:rPr>
        <w:t>民政部门应当会同发展改革、自然资源规划等部门，依据国民经济和社会发展总体规划、国土空间总体规划，根据辖区人口、公共服务资源、养老服务需求状况等因素，编制养老服务设施布局专项规划，合理布局养老机构，确定养老机构配套建设标准，报市、县级市人民政府批准后实施。</w:t>
      </w:r>
    </w:p>
    <w:p>
      <w:pPr>
        <w:pStyle w:val="Normal"/>
        <w:ind w:endChars="0" w:end="0"/>
        <w:rPr>
          <w:rFonts w:hint="eastAsia"/>
          <w:szCs w:val="32"/>
        </w:rPr>
      </w:pPr>
      <w:r>
        <w:rPr>
          <w:rFonts w:hint="eastAsia"/>
          <w:szCs w:val="32"/>
        </w:rPr>
        <w:t>区民政部门应当依据市养老服务设施布局专项规划，结合本地区实际情况编制实施方案，报区人民政府批准后实施。</w:t>
      </w:r>
    </w:p>
    <w:p>
      <w:pPr>
        <w:pStyle w:val="Normal"/>
        <w:ind w:endChars="0" w:end="0"/>
        <w:rPr>
          <w:szCs w:val="32"/>
        </w:rPr>
      </w:pPr>
      <w:r>
        <w:rPr>
          <w:rFonts w:hint="eastAsia" w:eastAsia="黑体"/>
          <w:szCs w:val="32"/>
        </w:rPr>
        <w:t>第十一条</w:t>
      </w:r>
      <w:r>
        <w:rPr>
          <w:rFonts w:eastAsia="黑体"/>
          <w:szCs w:val="32"/>
        </w:rPr>
        <w:t xml:space="preserve"> </w:t>
      </w:r>
      <w:r>
        <w:rPr>
          <w:szCs w:val="32"/>
        </w:rPr>
        <w:t xml:space="preserve"> </w:t>
      </w:r>
      <w:r>
        <w:rPr>
          <w:rFonts w:hint="eastAsia"/>
          <w:szCs w:val="32"/>
        </w:rPr>
        <w:t>新建居住区按照养老服务设施布局专项规划需要建设养老机构的，建设单位应当按照建设要求和标准，同步建设养老机构用房，并按照规定交付。</w:t>
      </w:r>
    </w:p>
    <w:p>
      <w:pPr>
        <w:pStyle w:val="Normal"/>
        <w:ind w:endChars="0" w:end="0"/>
        <w:rPr>
          <w:szCs w:val="32"/>
        </w:rPr>
      </w:pPr>
      <w:r>
        <w:rPr>
          <w:rFonts w:hint="eastAsia"/>
          <w:szCs w:val="32"/>
        </w:rPr>
        <w:t>已建成居住区养老机构用房未达到规划要求和标准的，县级市、区、镇人民政府以及街道办事处应当组织配建。</w:t>
      </w:r>
    </w:p>
    <w:p>
      <w:pPr>
        <w:pStyle w:val="Normal"/>
        <w:ind w:endChars="0" w:end="0"/>
        <w:rPr>
          <w:szCs w:val="32"/>
        </w:rPr>
      </w:pPr>
      <w:r>
        <w:rPr>
          <w:rFonts w:hint="eastAsia"/>
          <w:szCs w:val="32"/>
        </w:rPr>
        <w:t>鼓励符合要求或者改造后符合要求的医院、学校或者其他类型物业转用为养老机构。</w:t>
      </w:r>
    </w:p>
    <w:p>
      <w:pPr>
        <w:pStyle w:val="Normal"/>
        <w:ind w:endChars="0" w:end="0"/>
        <w:rPr>
          <w:szCs w:val="32"/>
        </w:rPr>
      </w:pPr>
      <w:r>
        <w:rPr>
          <w:rFonts w:hint="eastAsia" w:eastAsia="黑体"/>
          <w:szCs w:val="32"/>
        </w:rPr>
        <w:t>第十二条</w:t>
      </w:r>
      <w:r>
        <w:rPr>
          <w:rFonts w:eastAsia="黑体"/>
          <w:szCs w:val="32"/>
        </w:rPr>
        <w:t xml:space="preserve"> </w:t>
      </w:r>
      <w:r>
        <w:rPr>
          <w:szCs w:val="32"/>
        </w:rPr>
        <w:t xml:space="preserve"> </w:t>
      </w:r>
      <w:r>
        <w:rPr>
          <w:rFonts w:hint="eastAsia"/>
          <w:szCs w:val="32"/>
        </w:rPr>
        <w:t>市、县级市人民政府应当将养老机构等养老服务设施建设用地纳入国土空间总体规划和年度计划，保障用地需求。</w:t>
      </w:r>
    </w:p>
    <w:p>
      <w:pPr>
        <w:pStyle w:val="Normal"/>
        <w:ind w:endChars="0" w:end="0"/>
        <w:rPr>
          <w:szCs w:val="32"/>
        </w:rPr>
      </w:pPr>
      <w:r>
        <w:rPr>
          <w:rFonts w:hint="eastAsia"/>
          <w:szCs w:val="32"/>
        </w:rPr>
        <w:t>公益性养老机构建设用地，可以依法使用国有划拨土地或者农村集体建设用地。经营性养老机构建设用地，应当以出让、租赁等有偿方式取得；以出让方式取得的，出让价格参照同类地段公共服务用地基准地价的国家规定比例确定。</w:t>
      </w:r>
    </w:p>
    <w:p>
      <w:pPr>
        <w:pStyle w:val="Normal"/>
        <w:ind w:endChars="0" w:end="0"/>
        <w:rPr>
          <w:szCs w:val="32"/>
        </w:rPr>
      </w:pPr>
      <w:r>
        <w:rPr>
          <w:rFonts w:hint="eastAsia"/>
          <w:szCs w:val="32"/>
        </w:rPr>
        <w:t>鼓励将闲置的其他公益设施建设用地依法调整为养老机构建设用地。</w:t>
      </w:r>
    </w:p>
    <w:p>
      <w:pPr>
        <w:pStyle w:val="Normal"/>
        <w:ind w:endChars="0" w:end="0"/>
        <w:rPr>
          <w:szCs w:val="32"/>
        </w:rPr>
      </w:pPr>
      <w:r>
        <w:rPr>
          <w:rFonts w:hint="eastAsia"/>
          <w:szCs w:val="32"/>
        </w:rPr>
        <w:t>养老机构建设用地非经法定程序不得改变用途。</w:t>
      </w:r>
    </w:p>
    <w:p>
      <w:pPr>
        <w:pStyle w:val="Normal"/>
        <w:ind w:endChars="0" w:end="0"/>
        <w:rPr>
          <w:szCs w:val="32"/>
        </w:rPr>
      </w:pPr>
      <w:r>
        <w:rPr>
          <w:szCs w:val="32"/>
        </w:rPr>
      </w:r>
    </w:p>
    <w:p>
      <w:pPr>
        <w:pStyle w:val="Normal"/>
        <w:ind w:firstLineChars="0" w:firstLine="0" w:endChars="0" w:end="0"/>
        <w:jc w:val="center"/>
        <w:rPr>
          <w:rFonts w:eastAsia="黑体"/>
          <w:szCs w:val="32"/>
        </w:rPr>
      </w:pPr>
      <w:r>
        <w:rPr>
          <w:rFonts w:hint="eastAsia" w:eastAsia="黑体"/>
          <w:szCs w:val="32"/>
        </w:rPr>
        <w:t>第三章</w:t>
      </w:r>
      <w:r>
        <w:rPr>
          <w:rFonts w:eastAsia="黑体"/>
          <w:szCs w:val="32"/>
        </w:rPr>
        <w:t xml:space="preserve">  </w:t>
      </w:r>
      <w:r>
        <w:rPr>
          <w:rFonts w:hint="eastAsia" w:eastAsia="黑体"/>
          <w:szCs w:val="32"/>
        </w:rPr>
        <w:t>设立、变更与终止</w:t>
      </w:r>
    </w:p>
    <w:p>
      <w:pPr>
        <w:pStyle w:val="Normal"/>
        <w:ind w:endChars="0" w:end="0"/>
        <w:rPr>
          <w:rFonts w:eastAsia="黑体"/>
          <w:szCs w:val="32"/>
          <w:bdr w:val="single" w:sz="4" w:space="0" w:color="000000"/>
        </w:rPr>
      </w:pPr>
      <w:r>
        <w:rPr>
          <w:rFonts w:eastAsia="黑体"/>
          <w:szCs w:val="32"/>
          <w:bdr w:val="single" w:sz="4" w:space="0" w:color="000000"/>
        </w:rPr>
      </w:r>
    </w:p>
    <w:p>
      <w:pPr>
        <w:pStyle w:val="Normal"/>
        <w:ind w:endChars="0" w:end="0"/>
        <w:rPr>
          <w:szCs w:val="32"/>
        </w:rPr>
      </w:pPr>
      <w:r>
        <w:rPr>
          <w:rFonts w:hint="eastAsia" w:eastAsia="黑体"/>
          <w:szCs w:val="32"/>
        </w:rPr>
        <w:t>第十三条</w:t>
      </w:r>
      <w:r>
        <w:rPr>
          <w:szCs w:val="32"/>
        </w:rPr>
        <w:t xml:space="preserve">  </w:t>
      </w:r>
      <w:r>
        <w:rPr>
          <w:rFonts w:hint="eastAsia"/>
          <w:szCs w:val="32"/>
        </w:rPr>
        <w:t>设立养老机构，应当符合法律、法规规定条件和养老服务设施布局专项规划，并依法办理登记和备案手续。</w:t>
      </w:r>
    </w:p>
    <w:p>
      <w:pPr>
        <w:pStyle w:val="Normal"/>
        <w:ind w:endChars="0" w:end="0"/>
        <w:rPr>
          <w:rFonts w:hint="eastAsia"/>
          <w:szCs w:val="32"/>
        </w:rPr>
      </w:pPr>
      <w:r>
        <w:rPr>
          <w:rFonts w:hint="eastAsia" w:eastAsia="黑体"/>
          <w:szCs w:val="32"/>
        </w:rPr>
        <w:t>第十四条</w:t>
      </w:r>
      <w:r>
        <w:rPr>
          <w:szCs w:val="32"/>
        </w:rPr>
        <w:t xml:space="preserve">  </w:t>
      </w:r>
      <w:r>
        <w:rPr>
          <w:rFonts w:hint="eastAsia"/>
          <w:szCs w:val="32"/>
        </w:rPr>
        <w:t>设立公益性养老机构，符合民办非企业单位条件的，向民政部门办理登记手续；经批准设立为事业单位的，向事业单位登记管理机关办理登记手续。</w:t>
      </w:r>
    </w:p>
    <w:p>
      <w:pPr>
        <w:pStyle w:val="Normal"/>
        <w:ind w:endChars="0" w:end="0"/>
        <w:rPr>
          <w:rFonts w:hint="eastAsia"/>
          <w:szCs w:val="32"/>
        </w:rPr>
      </w:pPr>
      <w:r>
        <w:rPr>
          <w:rFonts w:hint="eastAsia"/>
          <w:szCs w:val="32"/>
        </w:rPr>
        <w:t>设立经营性养老机构，应当按照规定向行政审批部门或者市场监督管理部门办理登记手续</w:t>
      </w:r>
      <w:r>
        <w:rPr>
          <w:rFonts w:hint="eastAsia"/>
          <w:szCs w:val="32"/>
        </w:rPr>
        <w:t xml:space="preserve">; </w:t>
      </w:r>
      <w:r>
        <w:rPr>
          <w:rFonts w:hint="eastAsia"/>
          <w:szCs w:val="32"/>
        </w:rPr>
        <w:t>行政审批部门或者市场监督管理部门办理登记后，应当及时将相关登记信息告知同级民政部门。</w:t>
      </w:r>
    </w:p>
    <w:p>
      <w:pPr>
        <w:pStyle w:val="Normal"/>
        <w:ind w:endChars="0" w:end="0"/>
        <w:rPr>
          <w:rFonts w:hint="eastAsia"/>
          <w:szCs w:val="32"/>
        </w:rPr>
      </w:pPr>
      <w:r>
        <w:rPr>
          <w:rFonts w:hint="eastAsia"/>
          <w:szCs w:val="32"/>
        </w:rPr>
        <w:t>养老机构登记后即可开展服务活动，并按照规定时间向登记部门的同级民政部门备案。</w:t>
      </w:r>
    </w:p>
    <w:p>
      <w:pPr>
        <w:pStyle w:val="Normal"/>
        <w:ind w:endChars="0" w:end="0"/>
        <w:rPr>
          <w:rFonts w:hint="eastAsia"/>
          <w:szCs w:val="32"/>
        </w:rPr>
      </w:pPr>
      <w:r>
        <w:rPr>
          <w:rFonts w:hint="eastAsia"/>
          <w:szCs w:val="32"/>
        </w:rPr>
        <w:t>具备法人资格的医疗机构申请设立养老机构的，按照国家有关规定执行。</w:t>
      </w:r>
    </w:p>
    <w:p>
      <w:pPr>
        <w:pStyle w:val="Normal"/>
        <w:ind w:endChars="0" w:end="0"/>
        <w:rPr>
          <w:rFonts w:hint="eastAsia"/>
          <w:szCs w:val="32"/>
        </w:rPr>
      </w:pPr>
      <w:r>
        <w:rPr>
          <w:rFonts w:hint="eastAsia" w:eastAsia="黑体"/>
          <w:szCs w:val="32"/>
        </w:rPr>
        <w:t>第十五条</w:t>
      </w:r>
      <w:r>
        <w:rPr>
          <w:rFonts w:eastAsia="黑体"/>
          <w:szCs w:val="32"/>
        </w:rPr>
        <w:t xml:space="preserve"> </w:t>
      </w:r>
      <w:r>
        <w:rPr>
          <w:szCs w:val="32"/>
        </w:rPr>
        <w:t xml:space="preserve"> </w:t>
      </w:r>
      <w:r>
        <w:rPr>
          <w:rFonts w:hint="eastAsia"/>
          <w:szCs w:val="32"/>
        </w:rPr>
        <w:t>民政部门应当在接受养老机构提交备案材料五个工作日内进行书面审查，并开展现场指导。备案材料齐全无误的，应当向其提供备案回执；备案材料不齐全或者有误的，书面告知其补正。</w:t>
      </w:r>
    </w:p>
    <w:p>
      <w:pPr>
        <w:pStyle w:val="Normal"/>
        <w:ind w:endChars="0" w:end="0"/>
        <w:rPr>
          <w:rFonts w:hint="eastAsia"/>
          <w:szCs w:val="32"/>
        </w:rPr>
      </w:pPr>
      <w:r>
        <w:rPr>
          <w:rFonts w:hint="eastAsia" w:eastAsia="黑体"/>
          <w:szCs w:val="32"/>
        </w:rPr>
        <w:t>第十六条</w:t>
      </w:r>
      <w:r>
        <w:rPr>
          <w:rFonts w:eastAsia="黑体"/>
          <w:szCs w:val="32"/>
        </w:rPr>
        <w:t xml:space="preserve"> </w:t>
      </w:r>
      <w:r>
        <w:rPr>
          <w:szCs w:val="32"/>
        </w:rPr>
        <w:t xml:space="preserve"> </w:t>
      </w:r>
      <w:r>
        <w:rPr>
          <w:rFonts w:hint="eastAsia"/>
          <w:szCs w:val="32"/>
        </w:rPr>
        <w:t>民政部门应当将备案书、承诺书等示范文本及相关事项在办事服务窗口以及政务网站予以公布。</w:t>
      </w:r>
    </w:p>
    <w:p>
      <w:pPr>
        <w:pStyle w:val="Normal"/>
        <w:ind w:endChars="0" w:end="0"/>
        <w:rPr>
          <w:rFonts w:hint="eastAsia"/>
          <w:szCs w:val="32"/>
        </w:rPr>
      </w:pPr>
      <w:r>
        <w:rPr>
          <w:rFonts w:hint="eastAsia"/>
          <w:szCs w:val="32"/>
        </w:rPr>
        <w:t>养老机构应当真实、准确、完整地提交备案材料。</w:t>
      </w:r>
    </w:p>
    <w:p>
      <w:pPr>
        <w:pStyle w:val="Normal"/>
        <w:ind w:endChars="0" w:end="0"/>
        <w:rPr>
          <w:szCs w:val="32"/>
        </w:rPr>
      </w:pPr>
      <w:r>
        <w:rPr>
          <w:rFonts w:hint="eastAsia" w:eastAsia="黑体"/>
          <w:szCs w:val="32"/>
        </w:rPr>
        <w:t>第十七条</w:t>
      </w:r>
      <w:r>
        <w:rPr>
          <w:rFonts w:eastAsia="黑体"/>
          <w:szCs w:val="32"/>
        </w:rPr>
        <w:t xml:space="preserve"> </w:t>
      </w:r>
      <w:r>
        <w:rPr>
          <w:szCs w:val="32"/>
        </w:rPr>
        <w:t xml:space="preserve"> </w:t>
      </w:r>
      <w:r>
        <w:rPr>
          <w:rFonts w:hint="eastAsia"/>
          <w:szCs w:val="32"/>
        </w:rPr>
        <w:t>养老机构的名称、法定代表人或者主要负责人、服务范围等法定登记事项发生变更的，应当及时到原备案机关办理备案变更手续。</w:t>
      </w:r>
    </w:p>
    <w:p>
      <w:pPr>
        <w:pStyle w:val="Normal"/>
        <w:ind w:endChars="0" w:end="0"/>
        <w:rPr>
          <w:szCs w:val="32"/>
        </w:rPr>
      </w:pPr>
      <w:r>
        <w:rPr>
          <w:rFonts w:hint="eastAsia"/>
          <w:szCs w:val="32"/>
        </w:rPr>
        <w:t>养老机构变更服务场所的，应当按照规定办理备案手续。</w:t>
      </w:r>
    </w:p>
    <w:p>
      <w:pPr>
        <w:pStyle w:val="Normal"/>
        <w:ind w:endChars="0" w:end="0"/>
        <w:rPr>
          <w:szCs w:val="32"/>
        </w:rPr>
      </w:pPr>
      <w:r>
        <w:rPr>
          <w:rFonts w:hint="eastAsia" w:eastAsia="黑体"/>
          <w:szCs w:val="32"/>
        </w:rPr>
        <w:t>第十八条</w:t>
      </w:r>
      <w:r>
        <w:rPr>
          <w:rFonts w:eastAsia="黑体"/>
          <w:szCs w:val="32"/>
        </w:rPr>
        <w:t xml:space="preserve"> </w:t>
      </w:r>
      <w:r>
        <w:rPr>
          <w:szCs w:val="32"/>
        </w:rPr>
        <w:t xml:space="preserve"> </w:t>
      </w:r>
      <w:r>
        <w:rPr>
          <w:rFonts w:hint="eastAsia"/>
          <w:szCs w:val="32"/>
        </w:rPr>
        <w:t>养老机构暂停或者终止服务的，应当妥善安置收住的老年人，并于暂停或者终止服务六十日前，向所在地民政部门提交入住老年人安置方案，经批准后实施。</w:t>
      </w:r>
    </w:p>
    <w:p>
      <w:pPr>
        <w:pStyle w:val="Normal"/>
        <w:ind w:endChars="0" w:end="0"/>
        <w:rPr>
          <w:szCs w:val="32"/>
        </w:rPr>
      </w:pPr>
      <w:r>
        <w:rPr>
          <w:rFonts w:hint="eastAsia"/>
          <w:szCs w:val="32"/>
        </w:rPr>
        <w:t>民政部门应当督促养老机构实施安置方案、妥善安置收住老年人，并提供帮助。</w:t>
      </w:r>
    </w:p>
    <w:p>
      <w:pPr>
        <w:pStyle w:val="Normal"/>
        <w:ind w:endChars="0" w:end="0"/>
        <w:rPr>
          <w:szCs w:val="32"/>
        </w:rPr>
      </w:pPr>
      <w:r>
        <w:rPr>
          <w:rFonts w:hint="eastAsia" w:eastAsia="黑体"/>
          <w:szCs w:val="32"/>
        </w:rPr>
        <w:t>第十九条</w:t>
      </w:r>
      <w:r>
        <w:rPr>
          <w:rFonts w:eastAsia="黑体"/>
          <w:szCs w:val="32"/>
        </w:rPr>
        <w:t xml:space="preserve"> </w:t>
      </w:r>
      <w:r>
        <w:rPr>
          <w:szCs w:val="32"/>
        </w:rPr>
        <w:t xml:space="preserve"> </w:t>
      </w:r>
      <w:r>
        <w:rPr>
          <w:rFonts w:hint="eastAsia"/>
          <w:szCs w:val="32"/>
        </w:rPr>
        <w:t>民政部门应当建立健全养老机构设立、变更、终止信息公示制度，并公布相关信息，提供查询服务。</w:t>
      </w:r>
    </w:p>
    <w:p>
      <w:pPr>
        <w:pStyle w:val="Normal"/>
        <w:ind w:endChars="0" w:end="0"/>
        <w:jc w:val="center"/>
        <w:rPr>
          <w:rStyle w:val="Strong"/>
          <w:b w:val="false"/>
          <w:szCs w:val="32"/>
        </w:rPr>
      </w:pPr>
      <w:r>
        <w:rPr>
          <w:szCs w:val="32"/>
        </w:rPr>
      </w:r>
    </w:p>
    <w:p>
      <w:pPr>
        <w:pStyle w:val="Normal"/>
        <w:ind w:firstLineChars="0" w:firstLine="0" w:endChars="0" w:end="0"/>
        <w:jc w:val="center"/>
        <w:rPr>
          <w:rFonts w:eastAsia="黑体"/>
          <w:szCs w:val="32"/>
        </w:rPr>
      </w:pPr>
      <w:r>
        <w:rPr>
          <w:rFonts w:hint="eastAsia" w:eastAsia="黑体"/>
          <w:szCs w:val="32"/>
        </w:rPr>
        <w:t>第四章</w:t>
      </w:r>
      <w:r>
        <w:rPr>
          <w:rFonts w:eastAsia="黑体"/>
          <w:szCs w:val="32"/>
        </w:rPr>
        <w:t xml:space="preserve">  </w:t>
      </w:r>
      <w:r>
        <w:rPr>
          <w:rFonts w:hint="eastAsia" w:eastAsia="黑体"/>
          <w:szCs w:val="32"/>
        </w:rPr>
        <w:t>扶持发展</w:t>
      </w:r>
    </w:p>
    <w:p>
      <w:pPr>
        <w:pStyle w:val="Normal"/>
        <w:ind w:endChars="0" w:end="0"/>
        <w:rPr>
          <w:rStyle w:val="Strong"/>
          <w:b w:val="false"/>
          <w:szCs w:val="32"/>
        </w:rPr>
      </w:pPr>
      <w:r>
        <w:rPr>
          <w:rFonts w:eastAsia="黑体"/>
          <w:szCs w:val="32"/>
        </w:rPr>
      </w:r>
    </w:p>
    <w:p>
      <w:pPr>
        <w:pStyle w:val="Normal"/>
        <w:ind w:endChars="0" w:end="0"/>
        <w:rPr>
          <w:szCs w:val="32"/>
        </w:rPr>
      </w:pPr>
      <w:r>
        <w:rPr>
          <w:rFonts w:hint="eastAsia" w:eastAsia="黑体"/>
          <w:szCs w:val="32"/>
        </w:rPr>
        <w:t>第二十条</w:t>
      </w:r>
      <w:r>
        <w:rPr>
          <w:szCs w:val="32"/>
        </w:rPr>
        <w:t xml:space="preserve">  </w:t>
      </w:r>
      <w:r>
        <w:rPr>
          <w:rFonts w:hint="eastAsia"/>
          <w:szCs w:val="32"/>
        </w:rPr>
        <w:t>养老机构依法享受国家规定的税收优惠。</w:t>
      </w:r>
    </w:p>
    <w:p>
      <w:pPr>
        <w:pStyle w:val="Normal"/>
        <w:ind w:endChars="0" w:end="0"/>
        <w:rPr>
          <w:szCs w:val="32"/>
        </w:rPr>
      </w:pPr>
      <w:r>
        <w:rPr>
          <w:rFonts w:hint="eastAsia"/>
          <w:szCs w:val="32"/>
        </w:rPr>
        <w:t>各级人民政府按照国家、省、市规定对养老机构的建设和运营补贴，符合条件的，依法作为不征税收入。</w:t>
      </w:r>
    </w:p>
    <w:p>
      <w:pPr>
        <w:pStyle w:val="Normal"/>
        <w:ind w:endChars="0" w:end="0"/>
        <w:rPr>
          <w:szCs w:val="32"/>
        </w:rPr>
      </w:pPr>
      <w:r>
        <w:rPr>
          <w:rFonts w:hint="eastAsia" w:eastAsia="黑体"/>
          <w:szCs w:val="32"/>
        </w:rPr>
        <w:t>第二十一条</w:t>
      </w:r>
      <w:r>
        <w:rPr>
          <w:szCs w:val="32"/>
        </w:rPr>
        <w:t xml:space="preserve">  </w:t>
      </w:r>
      <w:r>
        <w:rPr>
          <w:rFonts w:hint="eastAsia"/>
          <w:szCs w:val="32"/>
        </w:rPr>
        <w:t>对与养老机构有关的行政事业性收费按照国家、省和本市有关规定予以减免，具体办法由市人民政府制定。</w:t>
      </w:r>
    </w:p>
    <w:p>
      <w:pPr>
        <w:pStyle w:val="Normal"/>
        <w:ind w:endChars="0" w:end="0"/>
        <w:rPr>
          <w:szCs w:val="32"/>
        </w:rPr>
      </w:pPr>
      <w:r>
        <w:rPr>
          <w:rFonts w:hint="eastAsia" w:eastAsia="黑体"/>
          <w:szCs w:val="32"/>
        </w:rPr>
        <w:t>第二十二条</w:t>
      </w:r>
      <w:r>
        <w:rPr>
          <w:szCs w:val="32"/>
        </w:rPr>
        <w:t xml:space="preserve">  </w:t>
      </w:r>
      <w:r>
        <w:rPr>
          <w:rFonts w:hint="eastAsia"/>
          <w:szCs w:val="32"/>
        </w:rPr>
        <w:t>养老机构使用水、电、热、燃气、固定电话按照居民生活类价格标准收费；养老机构使用有线电视、宽带互联网，按照规定享受付费优惠。</w:t>
      </w:r>
    </w:p>
    <w:p>
      <w:pPr>
        <w:pStyle w:val="Normal"/>
        <w:ind w:endChars="0" w:end="0"/>
        <w:rPr>
          <w:szCs w:val="32"/>
        </w:rPr>
      </w:pPr>
      <w:r>
        <w:rPr>
          <w:rFonts w:hint="eastAsia"/>
          <w:szCs w:val="32"/>
        </w:rPr>
        <w:t>供电、供水、供热、燃气、排污等经营性企业对养老机构实施的配套工程应当按照规定给予优惠。</w:t>
      </w:r>
    </w:p>
    <w:p>
      <w:pPr>
        <w:pStyle w:val="Normal"/>
        <w:ind w:endChars="0" w:end="0"/>
        <w:rPr>
          <w:szCs w:val="32"/>
        </w:rPr>
      </w:pPr>
      <w:r>
        <w:rPr>
          <w:rFonts w:hint="eastAsia" w:eastAsia="黑体"/>
          <w:szCs w:val="32"/>
        </w:rPr>
        <w:t>第二十三条</w:t>
      </w:r>
      <w:r>
        <w:rPr>
          <w:szCs w:val="32"/>
        </w:rPr>
        <w:t xml:space="preserve">  </w:t>
      </w:r>
      <w:r>
        <w:rPr>
          <w:rFonts w:hint="eastAsia"/>
          <w:szCs w:val="32"/>
        </w:rPr>
        <w:t>养老机构设置配套医疗机构的，应当按照国家和省、市有关规定办理手续。</w:t>
      </w:r>
    </w:p>
    <w:p>
      <w:pPr>
        <w:pStyle w:val="Normal"/>
        <w:ind w:endChars="0" w:end="0"/>
        <w:rPr>
          <w:szCs w:val="32"/>
        </w:rPr>
      </w:pPr>
      <w:r>
        <w:rPr>
          <w:rFonts w:hint="eastAsia"/>
          <w:szCs w:val="32"/>
        </w:rPr>
        <w:t>鼓励社会资本和其他医疗机构在养老机构设置配套医疗机构。</w:t>
      </w:r>
    </w:p>
    <w:p>
      <w:pPr>
        <w:pStyle w:val="Normal"/>
        <w:ind w:endChars="0" w:end="0"/>
        <w:rPr>
          <w:szCs w:val="32"/>
        </w:rPr>
      </w:pPr>
      <w:r>
        <w:rPr>
          <w:rFonts w:hint="eastAsia"/>
          <w:szCs w:val="32"/>
        </w:rPr>
        <w:t>符合医疗保险定点条件的养老机构配套医疗机构，应当纳入医保定点范围。</w:t>
      </w:r>
    </w:p>
    <w:p>
      <w:pPr>
        <w:pStyle w:val="Normal"/>
        <w:ind w:endChars="0" w:end="0"/>
        <w:rPr>
          <w:szCs w:val="32"/>
        </w:rPr>
      </w:pPr>
      <w:r>
        <w:rPr>
          <w:rFonts w:hint="eastAsia" w:eastAsia="黑体"/>
          <w:szCs w:val="32"/>
        </w:rPr>
        <w:t>第二十四条</w:t>
      </w:r>
      <w:r>
        <w:rPr>
          <w:szCs w:val="32"/>
        </w:rPr>
        <w:t xml:space="preserve">  </w:t>
      </w:r>
      <w:r>
        <w:rPr>
          <w:rFonts w:hint="eastAsia"/>
          <w:szCs w:val="32"/>
        </w:rPr>
        <w:t>本市二级以上公立医院应当与养老机构配套设置的医疗机构建立转诊等合作机制，并为其提供医师多点执业、会诊、应急救治、医疗培训和技术指导等服务。</w:t>
      </w:r>
    </w:p>
    <w:p>
      <w:pPr>
        <w:pStyle w:val="Normal"/>
        <w:ind w:endChars="0" w:end="0"/>
        <w:rPr>
          <w:szCs w:val="32"/>
        </w:rPr>
      </w:pPr>
      <w:r>
        <w:rPr>
          <w:rFonts w:hint="eastAsia"/>
          <w:szCs w:val="32"/>
        </w:rPr>
        <w:t>鼓励医疗机构和养老机构之间建立业务协作机制，开通预约就诊绿色通道，为养老机构入住的老年人提供慢性病管理和康复护理服务。</w:t>
      </w:r>
    </w:p>
    <w:p>
      <w:pPr>
        <w:pStyle w:val="Normal"/>
        <w:ind w:endChars="0" w:end="0"/>
        <w:rPr>
          <w:szCs w:val="32"/>
        </w:rPr>
      </w:pPr>
      <w:r>
        <w:rPr>
          <w:rFonts w:hint="eastAsia"/>
          <w:szCs w:val="32"/>
        </w:rPr>
        <w:t>鼓励社区卫生服务中心为辖区内养老机构入住的老年人提供基本医疗服务。</w:t>
      </w:r>
    </w:p>
    <w:p>
      <w:pPr>
        <w:pStyle w:val="Normal"/>
        <w:ind w:endChars="0" w:end="0"/>
        <w:rPr>
          <w:szCs w:val="32"/>
        </w:rPr>
      </w:pPr>
      <w:r>
        <w:rPr>
          <w:rFonts w:hint="eastAsia"/>
          <w:szCs w:val="32"/>
        </w:rPr>
        <w:t>促进养老服务与医疗卫生融合发展的具体实施办法，由市人民政府制定。</w:t>
      </w:r>
    </w:p>
    <w:p>
      <w:pPr>
        <w:pStyle w:val="Normal"/>
        <w:ind w:endChars="0" w:end="0"/>
        <w:rPr>
          <w:szCs w:val="32"/>
        </w:rPr>
      </w:pPr>
      <w:r>
        <w:rPr>
          <w:rFonts w:hint="eastAsia" w:eastAsia="黑体"/>
          <w:szCs w:val="32"/>
        </w:rPr>
        <w:t>第二十五条</w:t>
      </w:r>
      <w:r>
        <w:rPr>
          <w:szCs w:val="32"/>
        </w:rPr>
        <w:t xml:space="preserve">  </w:t>
      </w:r>
      <w:r>
        <w:rPr>
          <w:rFonts w:hint="eastAsia"/>
          <w:szCs w:val="32"/>
        </w:rPr>
        <w:t>市、县级市、区人民政府应当按照规定对符合条件的养老机构给予建设和运营等补贴。</w:t>
      </w:r>
    </w:p>
    <w:p>
      <w:pPr>
        <w:pStyle w:val="Normal"/>
        <w:ind w:endChars="0" w:end="0"/>
        <w:rPr>
          <w:szCs w:val="32"/>
        </w:rPr>
      </w:pPr>
      <w:r>
        <w:rPr>
          <w:rFonts w:hint="eastAsia"/>
          <w:szCs w:val="32"/>
        </w:rPr>
        <w:t>各级人民政府应当扶持发展品牌、连锁、智慧养老机构，并按照有关规定给予补贴或者奖励。</w:t>
      </w:r>
    </w:p>
    <w:p>
      <w:pPr>
        <w:pStyle w:val="Normal"/>
        <w:ind w:endChars="0" w:end="0"/>
        <w:rPr>
          <w:szCs w:val="32"/>
        </w:rPr>
      </w:pPr>
      <w:r>
        <w:rPr>
          <w:rFonts w:hint="eastAsia" w:eastAsia="黑体"/>
          <w:szCs w:val="32"/>
        </w:rPr>
        <w:t>第二十六条</w:t>
      </w:r>
      <w:r>
        <w:rPr>
          <w:szCs w:val="32"/>
        </w:rPr>
        <w:t xml:space="preserve">  </w:t>
      </w:r>
      <w:r>
        <w:rPr>
          <w:rFonts w:hint="eastAsia"/>
          <w:szCs w:val="32"/>
        </w:rPr>
        <w:t>鼓励金融机构创新养老服务金融产品，合理安排信贷资金，给予利率优惠，拓宽信贷抵押担保物范围。</w:t>
      </w:r>
    </w:p>
    <w:p>
      <w:pPr>
        <w:pStyle w:val="Normal"/>
        <w:ind w:endChars="0" w:end="0"/>
        <w:rPr>
          <w:szCs w:val="32"/>
        </w:rPr>
      </w:pPr>
      <w:r>
        <w:rPr>
          <w:rFonts w:hint="eastAsia"/>
          <w:szCs w:val="32"/>
        </w:rPr>
        <w:t>市、县级市人民政府应当推动建立老年人长期照料护理保险制度，鼓励养老机构投保责任保险以及入住老年人投保个人意外伤害保险。</w:t>
      </w:r>
    </w:p>
    <w:p>
      <w:pPr>
        <w:pStyle w:val="Normal"/>
        <w:ind w:endChars="0" w:end="0"/>
        <w:rPr>
          <w:szCs w:val="32"/>
        </w:rPr>
      </w:pPr>
      <w:r>
        <w:rPr>
          <w:rFonts w:hint="eastAsia" w:eastAsia="黑体"/>
          <w:szCs w:val="32"/>
        </w:rPr>
        <w:t>第二十七条</w:t>
      </w:r>
      <w:r>
        <w:rPr>
          <w:rFonts w:eastAsia="黑体"/>
          <w:szCs w:val="32"/>
        </w:rPr>
        <w:t xml:space="preserve"> </w:t>
      </w:r>
      <w:r>
        <w:rPr>
          <w:szCs w:val="32"/>
        </w:rPr>
        <w:t xml:space="preserve"> </w:t>
      </w:r>
      <w:r>
        <w:rPr>
          <w:rFonts w:hint="eastAsia"/>
          <w:szCs w:val="32"/>
        </w:rPr>
        <w:t>市、县级市、区人民政府应当建立养老机构人才引入、培养、使用、评价、激励机制；对取得国家养老护理员职业资格证书或者职业技能等级证书，在护理岗位连续从业一定年限的，应当按照规定给予奖励或者补贴。</w:t>
      </w:r>
    </w:p>
    <w:p>
      <w:pPr>
        <w:pStyle w:val="Normal"/>
        <w:ind w:endChars="0" w:end="0"/>
        <w:rPr>
          <w:szCs w:val="32"/>
        </w:rPr>
      </w:pPr>
      <w:r>
        <w:rPr>
          <w:rFonts w:hint="eastAsia"/>
          <w:szCs w:val="32"/>
        </w:rPr>
        <w:t>鼓励高等院校、职业技术学校和职业培训机构设置养老服务专业或者培训项目，培养养老服务专业人才。</w:t>
      </w:r>
    </w:p>
    <w:p>
      <w:pPr>
        <w:pStyle w:val="Normal"/>
        <w:ind w:endChars="0" w:end="0"/>
        <w:rPr>
          <w:szCs w:val="32"/>
        </w:rPr>
      </w:pPr>
      <w:r>
        <w:rPr>
          <w:rFonts w:hint="eastAsia" w:eastAsia="黑体"/>
          <w:szCs w:val="32"/>
        </w:rPr>
        <w:t>第二十八条</w:t>
      </w:r>
      <w:r>
        <w:rPr>
          <w:szCs w:val="32"/>
        </w:rPr>
        <w:t xml:space="preserve">  </w:t>
      </w:r>
      <w:r>
        <w:rPr>
          <w:rFonts w:hint="eastAsia"/>
          <w:szCs w:val="32"/>
        </w:rPr>
        <w:t>鼓励有条件的养老机构利用专业设施、场地、人员和技术等资源优势，为社区老年人提供日托照料护理服务，培训和指导社区养老服务组织和人员。</w:t>
      </w:r>
    </w:p>
    <w:p>
      <w:pPr>
        <w:pStyle w:val="Normal"/>
        <w:ind w:endChars="0" w:end="0"/>
        <w:rPr>
          <w:szCs w:val="32"/>
        </w:rPr>
      </w:pPr>
      <w:r>
        <w:rPr>
          <w:rFonts w:hint="eastAsia"/>
          <w:szCs w:val="32"/>
        </w:rPr>
        <w:t>鼓励养老机构上门为社区居家老年人提供助餐、助浴、助洁、助医等定制服务。</w:t>
      </w:r>
    </w:p>
    <w:p>
      <w:pPr>
        <w:pStyle w:val="Normal"/>
        <w:ind w:endChars="0" w:end="0"/>
        <w:rPr>
          <w:szCs w:val="32"/>
        </w:rPr>
      </w:pPr>
      <w:r>
        <w:rPr>
          <w:szCs w:val="32"/>
        </w:rPr>
      </w:r>
    </w:p>
    <w:p>
      <w:pPr>
        <w:pStyle w:val="Normal"/>
        <w:ind w:firstLineChars="0" w:firstLine="0" w:endChars="0" w:end="0"/>
        <w:jc w:val="center"/>
        <w:rPr>
          <w:rFonts w:eastAsia="黑体"/>
          <w:szCs w:val="32"/>
        </w:rPr>
      </w:pPr>
      <w:r>
        <w:rPr>
          <w:rFonts w:hint="eastAsia" w:eastAsia="黑体"/>
          <w:szCs w:val="32"/>
        </w:rPr>
        <w:t>第五章</w:t>
      </w:r>
      <w:r>
        <w:rPr>
          <w:rFonts w:eastAsia="黑体"/>
          <w:szCs w:val="32"/>
        </w:rPr>
        <w:t xml:space="preserve">  </w:t>
      </w:r>
      <w:r>
        <w:rPr>
          <w:rFonts w:hint="eastAsia" w:eastAsia="黑体"/>
          <w:szCs w:val="32"/>
        </w:rPr>
        <w:t>服务规范</w:t>
      </w:r>
    </w:p>
    <w:p>
      <w:pPr>
        <w:pStyle w:val="Normal"/>
        <w:ind w:endChars="0" w:end="0"/>
        <w:rPr>
          <w:rFonts w:eastAsia="黑体"/>
          <w:szCs w:val="32"/>
        </w:rPr>
      </w:pPr>
      <w:r>
        <w:rPr>
          <w:rFonts w:eastAsia="黑体"/>
          <w:szCs w:val="32"/>
        </w:rPr>
      </w:r>
    </w:p>
    <w:p>
      <w:pPr>
        <w:pStyle w:val="Normal"/>
        <w:ind w:endChars="0" w:end="0"/>
        <w:rPr>
          <w:szCs w:val="32"/>
        </w:rPr>
      </w:pPr>
      <w:r>
        <w:rPr>
          <w:rFonts w:hint="eastAsia" w:eastAsia="黑体"/>
          <w:szCs w:val="32"/>
        </w:rPr>
        <w:t>第二十九条</w:t>
      </w:r>
      <w:r>
        <w:rPr>
          <w:rFonts w:eastAsia="黑体"/>
          <w:szCs w:val="32"/>
        </w:rPr>
        <w:t xml:space="preserve"> </w:t>
      </w:r>
      <w:r>
        <w:rPr>
          <w:szCs w:val="32"/>
        </w:rPr>
        <w:t xml:space="preserve"> </w:t>
      </w:r>
      <w:r>
        <w:rPr>
          <w:rFonts w:hint="eastAsia"/>
          <w:szCs w:val="32"/>
        </w:rPr>
        <w:t>政府投资兴办的养老机构应当保障政府供养老年人入住，提供基本养老服务。</w:t>
      </w:r>
    </w:p>
    <w:p>
      <w:pPr>
        <w:pStyle w:val="Normal"/>
        <w:ind w:endChars="0" w:end="0"/>
        <w:rPr>
          <w:szCs w:val="32"/>
        </w:rPr>
      </w:pPr>
      <w:r>
        <w:rPr>
          <w:rFonts w:hint="eastAsia"/>
          <w:szCs w:val="32"/>
        </w:rPr>
        <w:t>政府投资兴办的养老机构在保障政府供养老年人入住的前提下，对经济困难的失能、失智、高龄、独居、重度残疾老年人和计划生育特殊家庭、优抚对象、劳动模范等老年人，应当优先收住。</w:t>
      </w:r>
    </w:p>
    <w:p>
      <w:pPr>
        <w:pStyle w:val="Normal"/>
        <w:ind w:endChars="0" w:end="0"/>
        <w:rPr>
          <w:szCs w:val="32"/>
        </w:rPr>
      </w:pPr>
      <w:r>
        <w:rPr>
          <w:rFonts w:hint="eastAsia" w:eastAsia="黑体"/>
          <w:szCs w:val="32"/>
        </w:rPr>
        <w:t>第三十条</w:t>
      </w:r>
      <w:r>
        <w:rPr>
          <w:szCs w:val="32"/>
        </w:rPr>
        <w:t xml:space="preserve">  </w:t>
      </w:r>
      <w:r>
        <w:rPr>
          <w:rFonts w:hint="eastAsia"/>
          <w:szCs w:val="32"/>
        </w:rPr>
        <w:t>养老机构应当根据老年人照料护理等级评估标准和入住老年人的身体健康状况，确定照料护理等级。</w:t>
      </w:r>
    </w:p>
    <w:p>
      <w:pPr>
        <w:pStyle w:val="Normal"/>
        <w:ind w:endChars="0" w:end="0"/>
        <w:rPr>
          <w:szCs w:val="32"/>
        </w:rPr>
      </w:pPr>
      <w:r>
        <w:rPr>
          <w:rFonts w:hint="eastAsia"/>
          <w:szCs w:val="32"/>
        </w:rPr>
        <w:t>入住老年人身体状况发生变化需要变更照料护理等级的，应当重新进行评估并经入住老年人或者其代理人确认。</w:t>
      </w:r>
    </w:p>
    <w:p>
      <w:pPr>
        <w:pStyle w:val="Normal"/>
        <w:ind w:endChars="0" w:end="0"/>
        <w:rPr>
          <w:szCs w:val="32"/>
        </w:rPr>
      </w:pPr>
      <w:r>
        <w:rPr>
          <w:rFonts w:hint="eastAsia"/>
          <w:szCs w:val="32"/>
        </w:rPr>
        <w:t>入住老年人或者其代理人对养老机构确定的照料护理等级有异议的，可以委托第三方专业机构进行照料护理等级评估。</w:t>
      </w:r>
    </w:p>
    <w:p>
      <w:pPr>
        <w:pStyle w:val="Normal"/>
        <w:ind w:endChars="0" w:end="0"/>
        <w:rPr>
          <w:szCs w:val="32"/>
        </w:rPr>
      </w:pPr>
      <w:r>
        <w:rPr>
          <w:rFonts w:hint="eastAsia" w:eastAsia="黑体"/>
          <w:szCs w:val="32"/>
        </w:rPr>
        <w:t>第三十一条</w:t>
      </w:r>
      <w:r>
        <w:rPr>
          <w:szCs w:val="32"/>
        </w:rPr>
        <w:t xml:space="preserve">  </w:t>
      </w:r>
      <w:r>
        <w:rPr>
          <w:rFonts w:hint="eastAsia"/>
          <w:szCs w:val="32"/>
        </w:rPr>
        <w:t>养老机构不得违法收住患有传染病或者严重精神障碍的老年人。</w:t>
      </w:r>
    </w:p>
    <w:p>
      <w:pPr>
        <w:pStyle w:val="Normal"/>
        <w:ind w:endChars="0" w:end="0"/>
        <w:rPr>
          <w:szCs w:val="32"/>
        </w:rPr>
      </w:pPr>
      <w:r>
        <w:rPr>
          <w:rFonts w:hint="eastAsia"/>
          <w:szCs w:val="32"/>
        </w:rPr>
        <w:t>养老机构发现入住老年人患有传染病或者严重精神障碍的，应当采取相应措施，按照规定向有关部门报告并通知其代理人或者亲属。</w:t>
      </w:r>
    </w:p>
    <w:p>
      <w:pPr>
        <w:pStyle w:val="Normal"/>
        <w:ind w:endChars="0" w:end="0"/>
        <w:rPr>
          <w:szCs w:val="32"/>
        </w:rPr>
      </w:pPr>
      <w:r>
        <w:rPr>
          <w:rFonts w:hint="eastAsia" w:eastAsia="黑体"/>
          <w:szCs w:val="32"/>
        </w:rPr>
        <w:t>第三十二条</w:t>
      </w:r>
      <w:r>
        <w:rPr>
          <w:szCs w:val="32"/>
        </w:rPr>
        <w:t xml:space="preserve">  </w:t>
      </w:r>
      <w:r>
        <w:rPr>
          <w:rFonts w:hint="eastAsia"/>
          <w:szCs w:val="32"/>
        </w:rPr>
        <w:t>养老机构应当与入住老年人或者其代理人签订服务合同，明确各自的权利、义务，依法保障各方合法权益。</w:t>
      </w:r>
    </w:p>
    <w:p>
      <w:pPr>
        <w:pStyle w:val="Normal"/>
        <w:ind w:endChars="0" w:end="0"/>
        <w:rPr>
          <w:szCs w:val="32"/>
        </w:rPr>
      </w:pPr>
      <w:r>
        <w:rPr>
          <w:rFonts w:hint="eastAsia"/>
          <w:szCs w:val="32"/>
        </w:rPr>
        <w:t>服务合同示范文本由市民政部门制定。</w:t>
      </w:r>
    </w:p>
    <w:p>
      <w:pPr>
        <w:pStyle w:val="Normal"/>
        <w:ind w:endChars="0" w:end="0"/>
        <w:rPr>
          <w:szCs w:val="32"/>
        </w:rPr>
      </w:pPr>
      <w:r>
        <w:rPr>
          <w:rFonts w:hint="eastAsia" w:eastAsia="黑体"/>
          <w:szCs w:val="32"/>
        </w:rPr>
        <w:t>第三十三条</w:t>
      </w:r>
      <w:r>
        <w:rPr>
          <w:szCs w:val="32"/>
        </w:rPr>
        <w:t xml:space="preserve">  </w:t>
      </w:r>
      <w:r>
        <w:rPr>
          <w:rFonts w:hint="eastAsia"/>
          <w:szCs w:val="32"/>
        </w:rPr>
        <w:t>养老机构应当按照服务合同载明的照料护理等级以及约定内容，向入住老年人提供相应服务。</w:t>
      </w:r>
    </w:p>
    <w:p>
      <w:pPr>
        <w:pStyle w:val="Normal"/>
        <w:ind w:endChars="0" w:end="0"/>
        <w:rPr>
          <w:szCs w:val="32"/>
        </w:rPr>
      </w:pPr>
      <w:r>
        <w:rPr>
          <w:rFonts w:hint="eastAsia"/>
          <w:szCs w:val="32"/>
        </w:rPr>
        <w:t>养老机构提供的服务应当符合国家、省和市有关标准及规范要求。</w:t>
      </w:r>
    </w:p>
    <w:p>
      <w:pPr>
        <w:pStyle w:val="Normal"/>
        <w:ind w:endChars="0" w:end="0"/>
        <w:rPr>
          <w:szCs w:val="32"/>
        </w:rPr>
      </w:pPr>
      <w:r>
        <w:rPr>
          <w:rFonts w:hint="eastAsia" w:eastAsia="黑体"/>
          <w:szCs w:val="32"/>
        </w:rPr>
        <w:t>第三十四条</w:t>
      </w:r>
      <w:r>
        <w:rPr>
          <w:rFonts w:eastAsia="黑体"/>
          <w:szCs w:val="32"/>
        </w:rPr>
        <w:t xml:space="preserve">  </w:t>
      </w:r>
      <w:r>
        <w:rPr>
          <w:rFonts w:hint="eastAsia"/>
          <w:szCs w:val="32"/>
        </w:rPr>
        <w:t>养老机构应当为入住老年人提供符合国家标准和建设规范的住房，配备日常生活用具和安全保护设施、设备，并建立卫生消毒制度，定期对入住老年人日常起居和活动的场所及使用的物品进行清洁、消毒。</w:t>
      </w:r>
    </w:p>
    <w:p>
      <w:pPr>
        <w:pStyle w:val="Normal"/>
        <w:ind w:endChars="0" w:end="0"/>
        <w:rPr>
          <w:szCs w:val="32"/>
        </w:rPr>
      </w:pPr>
      <w:r>
        <w:rPr>
          <w:rFonts w:hint="eastAsia" w:eastAsia="黑体"/>
          <w:szCs w:val="32"/>
        </w:rPr>
        <w:t>第三十五条</w:t>
      </w:r>
      <w:r>
        <w:rPr>
          <w:szCs w:val="32"/>
        </w:rPr>
        <w:t xml:space="preserve">  </w:t>
      </w:r>
      <w:r>
        <w:rPr>
          <w:rFonts w:hint="eastAsia"/>
          <w:szCs w:val="32"/>
        </w:rPr>
        <w:t>养老机构提供的饮食应当符合食品安全要求、有利于入住老年人营养平衡、符合民族风俗习惯，并满足入住老年人因健康原因对饮食的需求。</w:t>
      </w:r>
    </w:p>
    <w:p>
      <w:pPr>
        <w:pStyle w:val="Normal"/>
        <w:ind w:endChars="0" w:end="0"/>
        <w:rPr>
          <w:szCs w:val="32"/>
        </w:rPr>
      </w:pPr>
      <w:r>
        <w:rPr>
          <w:rFonts w:hint="eastAsia"/>
          <w:szCs w:val="32"/>
        </w:rPr>
        <w:t>民政部门应当确定政府供养老年人的伙食基本标准，并随经济社会发展逐步提高。</w:t>
      </w:r>
    </w:p>
    <w:p>
      <w:pPr>
        <w:pStyle w:val="Normal"/>
        <w:ind w:endChars="0" w:end="0"/>
        <w:rPr>
          <w:szCs w:val="32"/>
        </w:rPr>
      </w:pPr>
      <w:r>
        <w:rPr>
          <w:rFonts w:hint="eastAsia" w:eastAsia="黑体"/>
          <w:szCs w:val="32"/>
        </w:rPr>
        <w:t>第三十六条</w:t>
      </w:r>
      <w:r>
        <w:rPr>
          <w:szCs w:val="32"/>
        </w:rPr>
        <w:t xml:space="preserve">  </w:t>
      </w:r>
      <w:r>
        <w:rPr>
          <w:rFonts w:hint="eastAsia"/>
          <w:szCs w:val="32"/>
        </w:rPr>
        <w:t>养老机构应当为入住老年人建立健康档案，定期检查身体，宣传日常保健知识，做好疾病预防工作。</w:t>
      </w:r>
    </w:p>
    <w:p>
      <w:pPr>
        <w:pStyle w:val="Normal"/>
        <w:ind w:endChars="0" w:end="0"/>
        <w:rPr>
          <w:szCs w:val="32"/>
        </w:rPr>
      </w:pPr>
      <w:r>
        <w:rPr>
          <w:rFonts w:hint="eastAsia" w:eastAsia="黑体"/>
          <w:szCs w:val="32"/>
        </w:rPr>
        <w:t>第三十七条</w:t>
      </w:r>
      <w:r>
        <w:rPr>
          <w:szCs w:val="32"/>
        </w:rPr>
        <w:t xml:space="preserve">  </w:t>
      </w:r>
      <w:r>
        <w:rPr>
          <w:rFonts w:hint="eastAsia"/>
          <w:szCs w:val="32"/>
        </w:rPr>
        <w:t>养老机构应当为入住老年人疾病诊疗提供便利条件。</w:t>
      </w:r>
    </w:p>
    <w:p>
      <w:pPr>
        <w:pStyle w:val="Normal"/>
        <w:ind w:endChars="0" w:end="0"/>
        <w:rPr>
          <w:szCs w:val="32"/>
        </w:rPr>
      </w:pPr>
      <w:r>
        <w:rPr>
          <w:rFonts w:hint="eastAsia"/>
          <w:szCs w:val="32"/>
        </w:rPr>
        <w:t>对突发危重疾病的入住老年人，养老机构应当通知其代理人或者亲属，并及时转送医疗机构救治；入住老年人的代理人或者亲属应当依法履行相应义务。</w:t>
      </w:r>
    </w:p>
    <w:p>
      <w:pPr>
        <w:pStyle w:val="Normal"/>
        <w:ind w:endChars="0" w:end="0"/>
        <w:rPr>
          <w:szCs w:val="32"/>
        </w:rPr>
      </w:pPr>
      <w:r>
        <w:rPr>
          <w:rFonts w:hint="eastAsia" w:eastAsia="黑体"/>
          <w:szCs w:val="32"/>
        </w:rPr>
        <w:t>第三十八条</w:t>
      </w:r>
      <w:r>
        <w:rPr>
          <w:rFonts w:eastAsia="黑体"/>
          <w:szCs w:val="32"/>
        </w:rPr>
        <w:t xml:space="preserve"> </w:t>
      </w:r>
      <w:r>
        <w:rPr>
          <w:szCs w:val="32"/>
        </w:rPr>
        <w:t xml:space="preserve"> </w:t>
      </w:r>
      <w:r>
        <w:rPr>
          <w:rFonts w:hint="eastAsia"/>
          <w:szCs w:val="32"/>
        </w:rPr>
        <w:t>养老机构应当组织开展适合入住老年人的文化、娱乐和健身活动，丰富入住老年人精神文化生活，并为参与活动的入住老年人提供安全防护措施。</w:t>
      </w:r>
    </w:p>
    <w:p>
      <w:pPr>
        <w:pStyle w:val="Normal"/>
        <w:ind w:endChars="0" w:end="0"/>
        <w:rPr>
          <w:szCs w:val="32"/>
        </w:rPr>
      </w:pPr>
      <w:r>
        <w:rPr>
          <w:rFonts w:hint="eastAsia" w:eastAsia="黑体"/>
          <w:szCs w:val="32"/>
        </w:rPr>
        <w:t>第三十九条</w:t>
      </w:r>
      <w:r>
        <w:rPr>
          <w:szCs w:val="32"/>
        </w:rPr>
        <w:t xml:space="preserve">  </w:t>
      </w:r>
      <w:r>
        <w:rPr>
          <w:rFonts w:hint="eastAsia"/>
          <w:szCs w:val="32"/>
        </w:rPr>
        <w:t>养老机构应当为入住老年人提供情绪疏导、心理咨询、危机干预等精神慰藉服务。</w:t>
      </w:r>
    </w:p>
    <w:p>
      <w:pPr>
        <w:pStyle w:val="Normal"/>
        <w:ind w:endChars="0" w:end="0"/>
        <w:rPr>
          <w:szCs w:val="32"/>
        </w:rPr>
      </w:pPr>
      <w:r>
        <w:rPr>
          <w:rFonts w:hint="eastAsia" w:eastAsia="黑体"/>
          <w:szCs w:val="32"/>
        </w:rPr>
        <w:t>第四十条</w:t>
      </w:r>
      <w:r>
        <w:rPr>
          <w:rFonts w:eastAsia="黑体"/>
          <w:szCs w:val="32"/>
        </w:rPr>
        <w:t xml:space="preserve"> </w:t>
      </w:r>
      <w:r>
        <w:rPr>
          <w:szCs w:val="32"/>
        </w:rPr>
        <w:t xml:space="preserve"> </w:t>
      </w:r>
      <w:r>
        <w:rPr>
          <w:rFonts w:hint="eastAsia"/>
          <w:szCs w:val="32"/>
        </w:rPr>
        <w:t>养老机构及其工作人员应当尊重入住老年人的人格尊严，禁止擅自散布、泄露入住老年人以及相关第三方的信息与隐私，禁止歧视、侮辱、虐待或者遗弃入住老年人。</w:t>
      </w:r>
    </w:p>
    <w:p>
      <w:pPr>
        <w:pStyle w:val="Normal"/>
        <w:ind w:endChars="0" w:end="0"/>
        <w:rPr>
          <w:szCs w:val="32"/>
        </w:rPr>
      </w:pPr>
      <w:r>
        <w:rPr>
          <w:szCs w:val="32"/>
        </w:rPr>
      </w:r>
    </w:p>
    <w:p>
      <w:pPr>
        <w:pStyle w:val="Normal"/>
        <w:ind w:firstLineChars="0" w:firstLine="0" w:endChars="0" w:end="0"/>
        <w:jc w:val="center"/>
        <w:rPr>
          <w:rFonts w:eastAsia="黑体"/>
          <w:szCs w:val="32"/>
        </w:rPr>
      </w:pPr>
      <w:r>
        <w:rPr>
          <w:rFonts w:hint="eastAsia" w:eastAsia="黑体"/>
          <w:szCs w:val="32"/>
        </w:rPr>
        <w:t>第六章</w:t>
      </w:r>
      <w:r>
        <w:rPr>
          <w:rFonts w:eastAsia="黑体"/>
          <w:szCs w:val="32"/>
        </w:rPr>
        <w:t xml:space="preserve">  </w:t>
      </w:r>
      <w:r>
        <w:rPr>
          <w:rFonts w:hint="eastAsia" w:eastAsia="黑体"/>
          <w:szCs w:val="32"/>
        </w:rPr>
        <w:t>运营管理</w:t>
      </w:r>
    </w:p>
    <w:p>
      <w:pPr>
        <w:pStyle w:val="Normal"/>
        <w:ind w:endChars="0" w:end="0"/>
        <w:rPr>
          <w:rFonts w:eastAsia="黑体"/>
          <w:szCs w:val="32"/>
        </w:rPr>
      </w:pPr>
      <w:r>
        <w:rPr>
          <w:rFonts w:eastAsia="黑体"/>
          <w:szCs w:val="32"/>
        </w:rPr>
      </w:r>
    </w:p>
    <w:p>
      <w:pPr>
        <w:pStyle w:val="Normal"/>
        <w:ind w:endChars="0" w:end="0"/>
        <w:rPr>
          <w:szCs w:val="32"/>
        </w:rPr>
      </w:pPr>
      <w:r>
        <w:rPr>
          <w:rFonts w:hint="eastAsia" w:eastAsia="黑体"/>
          <w:szCs w:val="32"/>
        </w:rPr>
        <w:t>第四十一条</w:t>
      </w:r>
      <w:r>
        <w:rPr>
          <w:szCs w:val="32"/>
        </w:rPr>
        <w:t xml:space="preserve">  </w:t>
      </w:r>
      <w:r>
        <w:rPr>
          <w:rFonts w:hint="eastAsia"/>
          <w:szCs w:val="32"/>
        </w:rPr>
        <w:t>养老机构应当建立健全日常运营、人力资源、财务收费、信息档案等管理制度，制定并公开服务标准、工作流程和应急预案。</w:t>
      </w:r>
    </w:p>
    <w:p>
      <w:pPr>
        <w:pStyle w:val="Normal"/>
        <w:ind w:endChars="0" w:end="0"/>
        <w:rPr>
          <w:szCs w:val="32"/>
        </w:rPr>
      </w:pPr>
      <w:r>
        <w:rPr>
          <w:rFonts w:hint="eastAsia" w:eastAsia="黑体"/>
          <w:szCs w:val="32"/>
        </w:rPr>
        <w:t>第四十二条</w:t>
      </w:r>
      <w:r>
        <w:rPr>
          <w:szCs w:val="32"/>
        </w:rPr>
        <w:t xml:space="preserve">  </w:t>
      </w:r>
      <w:r>
        <w:rPr>
          <w:rFonts w:hint="eastAsia"/>
          <w:szCs w:val="32"/>
        </w:rPr>
        <w:t>养老机构应当按照标准和规范配备管理人员、服务人员以及其他专业人员。</w:t>
      </w:r>
    </w:p>
    <w:p>
      <w:pPr>
        <w:pStyle w:val="Normal"/>
        <w:ind w:endChars="0" w:end="0"/>
        <w:rPr>
          <w:szCs w:val="32"/>
        </w:rPr>
      </w:pPr>
      <w:r>
        <w:rPr>
          <w:rFonts w:hint="eastAsia"/>
          <w:szCs w:val="32"/>
        </w:rPr>
        <w:t>养老机构应当依法与工作人员签订劳动合同或者聘用合同，依法参加社会保险，并形成劳动报酬良性增长机制。</w:t>
      </w:r>
    </w:p>
    <w:p>
      <w:pPr>
        <w:pStyle w:val="Normal"/>
        <w:ind w:endChars="0" w:end="0"/>
        <w:rPr>
          <w:szCs w:val="32"/>
        </w:rPr>
      </w:pPr>
      <w:r>
        <w:rPr>
          <w:rFonts w:hint="eastAsia" w:eastAsia="黑体"/>
          <w:szCs w:val="32"/>
        </w:rPr>
        <w:t>第四十三条</w:t>
      </w:r>
      <w:r>
        <w:rPr>
          <w:szCs w:val="32"/>
        </w:rPr>
        <w:t xml:space="preserve">  </w:t>
      </w:r>
      <w:r>
        <w:rPr>
          <w:rFonts w:hint="eastAsia"/>
          <w:szCs w:val="32"/>
        </w:rPr>
        <w:t>养老机构应当加强对工作人员的专业技能培训和职业道德教育。</w:t>
      </w:r>
    </w:p>
    <w:p>
      <w:pPr>
        <w:pStyle w:val="Normal"/>
        <w:ind w:endChars="0" w:end="0"/>
        <w:rPr>
          <w:szCs w:val="32"/>
        </w:rPr>
      </w:pPr>
      <w:r>
        <w:rPr>
          <w:rFonts w:hint="eastAsia"/>
          <w:szCs w:val="32"/>
        </w:rPr>
        <w:t>养老机构中从事照料护理、康复医疗、社会工作等服务的专业技术人员应当具备相应的专业技术；依法需要具备相应资质的，应当取得相应职业资格或者专业技术资格。</w:t>
      </w:r>
    </w:p>
    <w:p>
      <w:pPr>
        <w:pStyle w:val="Normal"/>
        <w:ind w:endChars="0" w:end="0"/>
        <w:rPr>
          <w:szCs w:val="32"/>
        </w:rPr>
      </w:pPr>
      <w:r>
        <w:rPr>
          <w:rFonts w:hint="eastAsia" w:eastAsia="黑体"/>
          <w:szCs w:val="32"/>
        </w:rPr>
        <w:t>第四十四条</w:t>
      </w:r>
      <w:r>
        <w:rPr>
          <w:rFonts w:eastAsia="黑体"/>
          <w:szCs w:val="32"/>
        </w:rPr>
        <w:t xml:space="preserve"> </w:t>
      </w:r>
      <w:r>
        <w:rPr>
          <w:szCs w:val="32"/>
        </w:rPr>
        <w:t xml:space="preserve"> </w:t>
      </w:r>
      <w:r>
        <w:rPr>
          <w:rFonts w:hint="eastAsia"/>
          <w:szCs w:val="32"/>
        </w:rPr>
        <w:t>养老机构中从事护理、餐饮等工作的人员应当具有有效的健康证明并定期进行健康体检；对患有可能影响入住老年人身体健康疾病的，应当调离工作岗位。</w:t>
      </w:r>
    </w:p>
    <w:p>
      <w:pPr>
        <w:pStyle w:val="Normal"/>
        <w:ind w:endChars="0" w:end="0"/>
        <w:rPr>
          <w:szCs w:val="32"/>
        </w:rPr>
      </w:pPr>
      <w:r>
        <w:rPr>
          <w:rFonts w:hint="eastAsia" w:eastAsia="黑体"/>
          <w:szCs w:val="32"/>
        </w:rPr>
        <w:t>第四十五条</w:t>
      </w:r>
      <w:r>
        <w:rPr>
          <w:rFonts w:eastAsia="黑体"/>
          <w:szCs w:val="32"/>
        </w:rPr>
        <w:t xml:space="preserve"> </w:t>
      </w:r>
      <w:r>
        <w:rPr>
          <w:szCs w:val="32"/>
        </w:rPr>
        <w:t xml:space="preserve"> </w:t>
      </w:r>
      <w:r>
        <w:rPr>
          <w:rFonts w:hint="eastAsia"/>
          <w:szCs w:val="32"/>
        </w:rPr>
        <w:t>入住老年人应当遵守法律、法规以及养老机构管理制度。</w:t>
      </w:r>
    </w:p>
    <w:p>
      <w:pPr>
        <w:pStyle w:val="Normal"/>
        <w:ind w:endChars="0" w:end="0"/>
        <w:rPr>
          <w:szCs w:val="32"/>
        </w:rPr>
      </w:pPr>
      <w:r>
        <w:rPr>
          <w:rFonts w:hint="eastAsia"/>
          <w:szCs w:val="32"/>
        </w:rPr>
        <w:t>入住老年人的亲属或者代理人应当依法履行对老年人经济上供养、生活上照料和精神上慰藉的义务。</w:t>
      </w:r>
    </w:p>
    <w:p>
      <w:pPr>
        <w:pStyle w:val="Normal"/>
        <w:ind w:endChars="0" w:end="0"/>
        <w:rPr>
          <w:szCs w:val="32"/>
        </w:rPr>
      </w:pPr>
      <w:r>
        <w:rPr>
          <w:rFonts w:hint="eastAsia" w:eastAsia="黑体"/>
          <w:szCs w:val="32"/>
        </w:rPr>
        <w:t>第四十六条</w:t>
      </w:r>
      <w:r>
        <w:rPr>
          <w:szCs w:val="32"/>
        </w:rPr>
        <w:t xml:space="preserve">  </w:t>
      </w:r>
      <w:r>
        <w:rPr>
          <w:rFonts w:hint="eastAsia"/>
          <w:szCs w:val="32"/>
        </w:rPr>
        <w:t>政府投资兴办并运营的养老机构收费标准实行政府定价或者政府指导价；其他养老机构自主确定收费标准。</w:t>
      </w:r>
    </w:p>
    <w:p>
      <w:pPr>
        <w:pStyle w:val="Normal"/>
        <w:ind w:endChars="0" w:end="0"/>
        <w:rPr>
          <w:szCs w:val="32"/>
        </w:rPr>
      </w:pPr>
      <w:r>
        <w:rPr>
          <w:rFonts w:hint="eastAsia"/>
          <w:szCs w:val="32"/>
        </w:rPr>
        <w:t>养老机构配套设置的医疗机构开展医疗服务，执行医疗服务价格管理的有关规定。</w:t>
      </w:r>
    </w:p>
    <w:p>
      <w:pPr>
        <w:pStyle w:val="Normal"/>
        <w:ind w:endChars="0" w:end="0"/>
        <w:rPr>
          <w:szCs w:val="32"/>
        </w:rPr>
      </w:pPr>
      <w:r>
        <w:rPr>
          <w:rFonts w:hint="eastAsia" w:eastAsia="黑体"/>
          <w:szCs w:val="32"/>
        </w:rPr>
        <w:t>第四十七条</w:t>
      </w:r>
      <w:r>
        <w:rPr>
          <w:szCs w:val="32"/>
        </w:rPr>
        <w:t xml:space="preserve">  </w:t>
      </w:r>
      <w:r>
        <w:rPr>
          <w:rFonts w:hint="eastAsia"/>
          <w:szCs w:val="32"/>
        </w:rPr>
        <w:t>养老机构应当建立健全财务制度，加强财务管理，使用规范的财务票据。</w:t>
      </w:r>
    </w:p>
    <w:p>
      <w:pPr>
        <w:pStyle w:val="Normal"/>
        <w:ind w:endChars="0" w:end="0"/>
        <w:rPr>
          <w:szCs w:val="32"/>
        </w:rPr>
      </w:pPr>
      <w:r>
        <w:rPr>
          <w:rFonts w:hint="eastAsia"/>
          <w:szCs w:val="32"/>
        </w:rPr>
        <w:t>养老机构应当建立入住老年人膳食、医疗等费用账目，并定期向入住老年人或者其代理人公开。</w:t>
      </w:r>
    </w:p>
    <w:p>
      <w:pPr>
        <w:pStyle w:val="Normal"/>
        <w:ind w:endChars="0" w:end="0"/>
        <w:rPr>
          <w:szCs w:val="32"/>
        </w:rPr>
      </w:pPr>
      <w:r>
        <w:rPr>
          <w:rFonts w:hint="eastAsia"/>
          <w:szCs w:val="32"/>
        </w:rPr>
        <w:t>政府投资兴办并运营的养老机构应当将供养标准和资金使用情况向社会公开，接受社会监督。</w:t>
      </w:r>
    </w:p>
    <w:p>
      <w:pPr>
        <w:pStyle w:val="Normal"/>
        <w:ind w:endChars="0" w:end="0"/>
        <w:rPr>
          <w:szCs w:val="32"/>
        </w:rPr>
      </w:pPr>
      <w:r>
        <w:rPr>
          <w:rFonts w:hint="eastAsia" w:eastAsia="黑体"/>
          <w:szCs w:val="32"/>
        </w:rPr>
        <w:t>第四十八条</w:t>
      </w:r>
      <w:r>
        <w:rPr>
          <w:szCs w:val="32"/>
        </w:rPr>
        <w:t xml:space="preserve">  </w:t>
      </w:r>
      <w:r>
        <w:rPr>
          <w:rFonts w:hint="eastAsia"/>
          <w:szCs w:val="32"/>
        </w:rPr>
        <w:t>养老机构应当建立健全消防、设施设备、食品药品等安全管理制度，实行二十四小时值班，定期开展安全检查，消除安全隐患。</w:t>
      </w:r>
    </w:p>
    <w:p>
      <w:pPr>
        <w:pStyle w:val="Normal"/>
        <w:ind w:endChars="0" w:end="0"/>
        <w:rPr>
          <w:szCs w:val="32"/>
        </w:rPr>
      </w:pPr>
      <w:r>
        <w:rPr>
          <w:rFonts w:hint="eastAsia"/>
          <w:szCs w:val="32"/>
        </w:rPr>
        <w:t>养老机构应当制定突发事件应急预案，定期组织消防等应急演练。</w:t>
      </w:r>
    </w:p>
    <w:p>
      <w:pPr>
        <w:pStyle w:val="Normal"/>
        <w:ind w:endChars="0" w:end="0"/>
        <w:rPr>
          <w:szCs w:val="32"/>
        </w:rPr>
      </w:pPr>
      <w:r>
        <w:rPr>
          <w:rFonts w:hint="eastAsia"/>
          <w:szCs w:val="32"/>
        </w:rPr>
        <w:t>突发事件发生时，养老机构应当启动应急处理程序，开展应急处置。</w:t>
      </w:r>
    </w:p>
    <w:p>
      <w:pPr>
        <w:pStyle w:val="Normal"/>
        <w:ind w:endChars="0" w:end="0"/>
        <w:rPr>
          <w:szCs w:val="32"/>
        </w:rPr>
      </w:pPr>
      <w:r>
        <w:rPr>
          <w:rFonts w:hint="eastAsia" w:eastAsia="黑体"/>
          <w:szCs w:val="32"/>
        </w:rPr>
        <w:t>第四十九条</w:t>
      </w:r>
      <w:r>
        <w:rPr>
          <w:szCs w:val="32"/>
        </w:rPr>
        <w:t xml:space="preserve">  </w:t>
      </w:r>
      <w:r>
        <w:rPr>
          <w:rFonts w:hint="eastAsia"/>
          <w:szCs w:val="32"/>
        </w:rPr>
        <w:t>养老机构接受捐赠款物的使用和管理，应当依照有关公益事业捐赠的法律、法规执行，并接受有关部门和社会监督。</w:t>
      </w:r>
    </w:p>
    <w:p>
      <w:pPr>
        <w:pStyle w:val="Normal"/>
        <w:ind w:endChars="0" w:end="0"/>
        <w:rPr>
          <w:szCs w:val="32"/>
        </w:rPr>
      </w:pPr>
      <w:r>
        <w:rPr>
          <w:rFonts w:hint="eastAsia" w:eastAsia="黑体"/>
          <w:szCs w:val="32"/>
        </w:rPr>
        <w:t>第五十条</w:t>
      </w:r>
      <w:r>
        <w:rPr>
          <w:szCs w:val="32"/>
        </w:rPr>
        <w:t xml:space="preserve">  </w:t>
      </w:r>
      <w:r>
        <w:rPr>
          <w:rFonts w:hint="eastAsia"/>
          <w:szCs w:val="32"/>
        </w:rPr>
        <w:t>养老机构应当定期向入住老年人或者其代理人通报养老机构服务情况，听取意见、建议，核实处理有关问题。</w:t>
      </w:r>
    </w:p>
    <w:p>
      <w:pPr>
        <w:pStyle w:val="Normal"/>
        <w:ind w:endChars="0" w:end="0"/>
        <w:rPr>
          <w:szCs w:val="32"/>
        </w:rPr>
      </w:pPr>
      <w:r>
        <w:rPr>
          <w:rFonts w:hint="eastAsia"/>
          <w:szCs w:val="32"/>
        </w:rPr>
        <w:t>养老机构与入住老年人或者其代理人发生争议的，可以通过有关组织调解，也可以依法通过仲裁、诉讼等途径解决。</w:t>
      </w:r>
    </w:p>
    <w:p>
      <w:pPr>
        <w:pStyle w:val="Normal"/>
        <w:ind w:endChars="0" w:end="0"/>
        <w:jc w:val="center"/>
        <w:rPr>
          <w:szCs w:val="32"/>
        </w:rPr>
      </w:pPr>
      <w:r>
        <w:rPr>
          <w:szCs w:val="32"/>
        </w:rPr>
      </w:r>
    </w:p>
    <w:p>
      <w:pPr>
        <w:pStyle w:val="Normal"/>
        <w:ind w:firstLineChars="0" w:firstLine="0" w:endChars="0" w:end="0"/>
        <w:jc w:val="center"/>
        <w:rPr>
          <w:szCs w:val="32"/>
        </w:rPr>
      </w:pPr>
      <w:r>
        <w:rPr>
          <w:rFonts w:hint="eastAsia" w:eastAsia="黑体"/>
          <w:szCs w:val="32"/>
        </w:rPr>
        <w:t>第七章</w:t>
      </w:r>
      <w:r>
        <w:rPr>
          <w:rFonts w:eastAsia="黑体"/>
          <w:szCs w:val="32"/>
        </w:rPr>
        <w:t xml:space="preserve">  </w:t>
      </w:r>
      <w:r>
        <w:rPr>
          <w:rFonts w:hint="eastAsia" w:eastAsia="黑体"/>
          <w:szCs w:val="32"/>
        </w:rPr>
        <w:t>监督检查</w:t>
      </w:r>
    </w:p>
    <w:p>
      <w:pPr>
        <w:pStyle w:val="Normal"/>
        <w:ind w:endChars="0" w:end="0"/>
        <w:rPr>
          <w:szCs w:val="32"/>
        </w:rPr>
      </w:pPr>
      <w:r>
        <w:rPr>
          <w:szCs w:val="32"/>
        </w:rPr>
      </w:r>
    </w:p>
    <w:p>
      <w:pPr>
        <w:pStyle w:val="Normal"/>
        <w:ind w:endChars="0" w:end="0"/>
        <w:rPr>
          <w:szCs w:val="32"/>
        </w:rPr>
      </w:pPr>
      <w:r>
        <w:rPr>
          <w:rFonts w:hint="eastAsia" w:eastAsia="黑体"/>
          <w:szCs w:val="32"/>
        </w:rPr>
        <w:t>第五十一条</w:t>
      </w:r>
      <w:r>
        <w:rPr>
          <w:szCs w:val="32"/>
        </w:rPr>
        <w:t xml:space="preserve">  </w:t>
      </w:r>
      <w:r>
        <w:rPr>
          <w:rFonts w:hint="eastAsia"/>
          <w:szCs w:val="32"/>
        </w:rPr>
        <w:t>民政部门应当对养老机构日常管理提供相应的指导和服务，对养老机构的场所设施、人员配备、服务范围、服务质量等进行监督和检查，并建立养老机构监管信息公示制度。</w:t>
      </w:r>
    </w:p>
    <w:p>
      <w:pPr>
        <w:pStyle w:val="Normal"/>
        <w:ind w:endChars="0" w:end="0"/>
        <w:rPr>
          <w:szCs w:val="32"/>
        </w:rPr>
      </w:pPr>
      <w:r>
        <w:rPr>
          <w:rFonts w:hint="eastAsia"/>
          <w:szCs w:val="32"/>
        </w:rPr>
        <w:t>民政部门实施监督检查时，养老机构应当予以配合，并如实提供有关材料。</w:t>
      </w:r>
    </w:p>
    <w:p>
      <w:pPr>
        <w:pStyle w:val="Normal"/>
        <w:ind w:endChars="0" w:end="0"/>
        <w:rPr>
          <w:szCs w:val="32"/>
        </w:rPr>
      </w:pPr>
      <w:r>
        <w:rPr>
          <w:rFonts w:hint="eastAsia" w:eastAsia="黑体"/>
          <w:szCs w:val="32"/>
        </w:rPr>
        <w:t>第五十二条</w:t>
      </w:r>
      <w:r>
        <w:rPr>
          <w:szCs w:val="32"/>
        </w:rPr>
        <w:t xml:space="preserve">  </w:t>
      </w:r>
      <w:r>
        <w:rPr>
          <w:rFonts w:hint="eastAsia"/>
          <w:szCs w:val="32"/>
        </w:rPr>
        <w:t>民政部门应当建立养老机构评估制度，定期组织有关方面专家或者第三方专业机构对养老机构进行综合评估；评估结果应当对外公示，并作为对养老机构资助、考核评价的依据。</w:t>
      </w:r>
    </w:p>
    <w:p>
      <w:pPr>
        <w:pStyle w:val="Normal"/>
        <w:ind w:endChars="0" w:end="0"/>
        <w:rPr>
          <w:szCs w:val="32"/>
        </w:rPr>
      </w:pPr>
      <w:r>
        <w:rPr>
          <w:rFonts w:hint="eastAsia" w:eastAsia="黑体"/>
          <w:szCs w:val="32"/>
        </w:rPr>
        <w:t>第五十三条</w:t>
      </w:r>
      <w:r>
        <w:rPr>
          <w:szCs w:val="32"/>
        </w:rPr>
        <w:t xml:space="preserve">  </w:t>
      </w:r>
      <w:r>
        <w:rPr>
          <w:rFonts w:hint="eastAsia"/>
          <w:szCs w:val="32"/>
        </w:rPr>
        <w:t>人力资源社会保障部门应当依法对养老机构的劳动用工情况进行监督检查。</w:t>
      </w:r>
    </w:p>
    <w:p>
      <w:pPr>
        <w:pStyle w:val="Normal"/>
        <w:ind w:endChars="0" w:end="0"/>
        <w:rPr>
          <w:szCs w:val="32"/>
        </w:rPr>
      </w:pPr>
      <w:r>
        <w:rPr>
          <w:rFonts w:hint="eastAsia"/>
          <w:szCs w:val="32"/>
        </w:rPr>
        <w:t>卫生健康部门应当依法对养老机构内部设置医疗机构的许可备案、医疗质量、医务人员执业行为规范情况进行监督检查。</w:t>
      </w:r>
    </w:p>
    <w:p>
      <w:pPr>
        <w:pStyle w:val="Normal"/>
        <w:ind w:endChars="0" w:end="0"/>
        <w:rPr>
          <w:szCs w:val="32"/>
        </w:rPr>
      </w:pPr>
      <w:r>
        <w:rPr>
          <w:rFonts w:hint="eastAsia"/>
          <w:szCs w:val="32"/>
        </w:rPr>
        <w:t>医疗保障部门应当依法对养老机构的医保定点政策执行情况进行监督检查。</w:t>
      </w:r>
    </w:p>
    <w:p>
      <w:pPr>
        <w:pStyle w:val="Normal"/>
        <w:ind w:endChars="0" w:end="0"/>
        <w:rPr>
          <w:szCs w:val="32"/>
        </w:rPr>
      </w:pPr>
      <w:r>
        <w:rPr>
          <w:rFonts w:hint="eastAsia"/>
          <w:szCs w:val="32"/>
        </w:rPr>
        <w:t>审计部门应当依法对政府投资兴办的养老机构的财务状况以及政府补助资金的使用情况进行审计监督，并向社会公布审计结果。</w:t>
      </w:r>
    </w:p>
    <w:p>
      <w:pPr>
        <w:pStyle w:val="Normal"/>
        <w:ind w:endChars="0" w:end="0"/>
        <w:rPr>
          <w:szCs w:val="32"/>
        </w:rPr>
      </w:pPr>
      <w:r>
        <w:rPr>
          <w:rFonts w:hint="eastAsia"/>
          <w:szCs w:val="32"/>
        </w:rPr>
        <w:t>市场监督管理部门应当依法对养老机构办理登记、服务收费等情况进行监督检查。</w:t>
      </w:r>
    </w:p>
    <w:p>
      <w:pPr>
        <w:pStyle w:val="Normal"/>
        <w:ind w:endChars="0" w:end="0"/>
        <w:rPr>
          <w:szCs w:val="32"/>
        </w:rPr>
      </w:pPr>
      <w:r>
        <w:rPr>
          <w:rFonts w:hint="eastAsia"/>
          <w:szCs w:val="32"/>
        </w:rPr>
        <w:t>公安、应急管理等相关部门应当按照各自职责加强对养老机构的安全检查和指导。</w:t>
      </w:r>
    </w:p>
    <w:p>
      <w:pPr>
        <w:pStyle w:val="Normal"/>
        <w:ind w:endChars="0" w:end="0"/>
        <w:rPr>
          <w:szCs w:val="32"/>
        </w:rPr>
      </w:pPr>
      <w:r>
        <w:rPr>
          <w:rFonts w:hint="eastAsia" w:eastAsia="黑体"/>
          <w:szCs w:val="32"/>
        </w:rPr>
        <w:t>第五十四条</w:t>
      </w:r>
      <w:r>
        <w:rPr>
          <w:szCs w:val="32"/>
        </w:rPr>
        <w:t xml:space="preserve">  </w:t>
      </w:r>
      <w:r>
        <w:rPr>
          <w:rFonts w:hint="eastAsia"/>
          <w:szCs w:val="32"/>
        </w:rPr>
        <w:t>民政部门应当建立对养老机构管理的举报和投诉制度。</w:t>
      </w:r>
    </w:p>
    <w:p>
      <w:pPr>
        <w:pStyle w:val="Normal"/>
        <w:ind w:endChars="0" w:end="0"/>
        <w:rPr>
          <w:spacing w:val="-6"/>
          <w:szCs w:val="32"/>
        </w:rPr>
      </w:pPr>
      <w:r>
        <w:rPr>
          <w:rFonts w:hint="eastAsia"/>
          <w:spacing w:val="-6"/>
          <w:szCs w:val="32"/>
        </w:rPr>
        <w:t>民政部门接到举报、投诉后应当核实、处理；属于市场监督管理、卫生健康、住房城乡建设、应急管理等部门职能的，应当及时移交相关部门予以查处。处理结果应当及时告知举报人、投诉人。</w:t>
      </w:r>
    </w:p>
    <w:p>
      <w:pPr>
        <w:pStyle w:val="Normal"/>
        <w:ind w:endChars="0" w:end="0"/>
        <w:rPr>
          <w:spacing w:val="-6"/>
          <w:szCs w:val="32"/>
        </w:rPr>
      </w:pPr>
      <w:r>
        <w:rPr>
          <w:spacing w:val="-6"/>
          <w:szCs w:val="32"/>
        </w:rPr>
      </w:r>
    </w:p>
    <w:p>
      <w:pPr>
        <w:pStyle w:val="Normal"/>
        <w:ind w:firstLineChars="0" w:firstLine="0" w:endChars="0" w:end="0"/>
        <w:jc w:val="center"/>
        <w:rPr>
          <w:rFonts w:eastAsia="黑体"/>
          <w:szCs w:val="32"/>
        </w:rPr>
      </w:pPr>
      <w:r>
        <w:rPr>
          <w:rFonts w:hint="eastAsia" w:eastAsia="黑体"/>
          <w:szCs w:val="32"/>
        </w:rPr>
        <w:t>第八章</w:t>
      </w:r>
      <w:r>
        <w:rPr>
          <w:rFonts w:eastAsia="黑体"/>
          <w:szCs w:val="32"/>
        </w:rPr>
        <w:t xml:space="preserve">  </w:t>
      </w:r>
      <w:r>
        <w:rPr>
          <w:rFonts w:hint="eastAsia" w:eastAsia="黑体"/>
          <w:szCs w:val="32"/>
        </w:rPr>
        <w:t>法律责任</w:t>
      </w:r>
    </w:p>
    <w:p>
      <w:pPr>
        <w:pStyle w:val="Normal"/>
        <w:ind w:endChars="0" w:end="0"/>
        <w:rPr>
          <w:rFonts w:eastAsia="黑体"/>
          <w:szCs w:val="32"/>
        </w:rPr>
      </w:pPr>
      <w:r>
        <w:rPr>
          <w:rFonts w:eastAsia="黑体"/>
          <w:szCs w:val="32"/>
        </w:rPr>
      </w:r>
    </w:p>
    <w:p>
      <w:pPr>
        <w:pStyle w:val="Normal"/>
        <w:ind w:endChars="0" w:end="0"/>
        <w:rPr>
          <w:rFonts w:hint="eastAsia"/>
          <w:szCs w:val="32"/>
        </w:rPr>
      </w:pPr>
      <w:r>
        <w:rPr>
          <w:rFonts w:hint="eastAsia" w:eastAsia="黑体"/>
          <w:szCs w:val="32"/>
        </w:rPr>
        <w:t xml:space="preserve">第五十五条  </w:t>
      </w:r>
      <w:r>
        <w:rPr>
          <w:rFonts w:hint="eastAsia"/>
          <w:szCs w:val="32"/>
        </w:rPr>
        <w:t>违反本条例规定，法律、法规已有处罚规定的，从其规定。</w:t>
      </w:r>
    </w:p>
    <w:p>
      <w:pPr>
        <w:pStyle w:val="Normal"/>
        <w:ind w:endChars="0" w:end="0"/>
        <w:rPr>
          <w:szCs w:val="32"/>
        </w:rPr>
      </w:pPr>
      <w:r>
        <w:rPr>
          <w:rFonts w:hint="eastAsia" w:eastAsia="黑体"/>
          <w:szCs w:val="32"/>
        </w:rPr>
        <w:t>第五十六条</w:t>
      </w:r>
      <w:r>
        <w:rPr>
          <w:rFonts w:ascii="黑体" w:hAnsi="黑体" w:cs="黑体" w:eastAsia="黑体"/>
          <w:szCs w:val="32"/>
        </w:rPr>
        <w:t xml:space="preserve">  </w:t>
      </w:r>
      <w:r>
        <w:rPr>
          <w:rFonts w:hint="eastAsia"/>
          <w:szCs w:val="32"/>
        </w:rPr>
        <w:t>有下列行为之一的，由有关主管部门责令改正，并依照相关法律、法规规定予以处理：</w:t>
      </w:r>
    </w:p>
    <w:p>
      <w:pPr>
        <w:pStyle w:val="Normal"/>
        <w:ind w:endChars="0" w:end="0"/>
        <w:rPr>
          <w:szCs w:val="32"/>
        </w:rPr>
      </w:pPr>
      <w:r>
        <w:rPr>
          <w:rFonts w:hint="eastAsia"/>
          <w:szCs w:val="32"/>
        </w:rPr>
        <w:t>（一）违反本条例第十一条第一款规定，新建居住区的建设单位未按照规划、建设要求和标准配套建设养老机构用房的；</w:t>
      </w:r>
    </w:p>
    <w:p>
      <w:pPr>
        <w:pStyle w:val="Normal"/>
        <w:ind w:endChars="0" w:end="0"/>
        <w:rPr>
          <w:szCs w:val="32"/>
        </w:rPr>
      </w:pPr>
      <w:r>
        <w:rPr>
          <w:rFonts w:hint="eastAsia"/>
          <w:szCs w:val="32"/>
        </w:rPr>
        <w:t>（二）违反本条例第十二条第四款规定，擅自改变养老机构建设用地用途的；</w:t>
      </w:r>
    </w:p>
    <w:p>
      <w:pPr>
        <w:pStyle w:val="Normal"/>
        <w:ind w:endChars="0" w:end="0"/>
        <w:rPr>
          <w:rFonts w:hint="eastAsia"/>
          <w:szCs w:val="32"/>
        </w:rPr>
      </w:pPr>
      <w:r>
        <w:rPr>
          <w:rFonts w:hint="eastAsia"/>
          <w:szCs w:val="32"/>
        </w:rPr>
        <w:t>（三）违反本条例第四十条规定，擅自散布、泄露入住老年人及相关第三方的信息与隐私，或者歧视、侮辱、虐待、遗弃入住老年人的。</w:t>
      </w:r>
    </w:p>
    <w:p>
      <w:pPr>
        <w:pStyle w:val="Normal"/>
        <w:ind w:endChars="0" w:end="0"/>
        <w:rPr>
          <w:rFonts w:hint="eastAsia"/>
          <w:szCs w:val="32"/>
        </w:rPr>
      </w:pPr>
      <w:r>
        <w:rPr>
          <w:rFonts w:hint="eastAsia" w:eastAsia="黑体"/>
          <w:szCs w:val="32"/>
        </w:rPr>
        <w:t>第五十七条</w:t>
      </w:r>
      <w:r>
        <w:rPr>
          <w:rFonts w:ascii="楷体_GB2312" w:hAnsi="楷体_GB2312" w:eastAsia="楷体_GB2312"/>
          <w:i/>
          <w:szCs w:val="32"/>
        </w:rPr>
        <w:t xml:space="preserve">  </w:t>
      </w:r>
      <w:r>
        <w:rPr>
          <w:rFonts w:hint="eastAsia"/>
          <w:szCs w:val="32"/>
        </w:rPr>
        <w:t>违反本条例第十八条第一款规定，养老机构暂停或者终止服务未妥善安置收住老年人的，由民政部门责令限期改正，处一万元以上三万元以下罚款；逾期不改正的，处三万元以上十万元以下罚款。</w:t>
      </w:r>
    </w:p>
    <w:p>
      <w:pPr>
        <w:pStyle w:val="Normal"/>
        <w:ind w:endChars="0" w:end="0"/>
        <w:rPr>
          <w:szCs w:val="32"/>
        </w:rPr>
      </w:pPr>
      <w:r>
        <w:rPr>
          <w:rFonts w:hint="eastAsia" w:eastAsia="黑体"/>
          <w:szCs w:val="32"/>
        </w:rPr>
        <w:t>第五十八条</w:t>
      </w:r>
      <w:r>
        <w:rPr>
          <w:rFonts w:ascii="楷体_GB2312" w:hAnsi="楷体_GB2312" w:eastAsia="楷体_GB2312"/>
          <w:i/>
          <w:szCs w:val="32"/>
        </w:rPr>
        <w:t xml:space="preserve">  </w:t>
      </w:r>
      <w:r>
        <w:rPr>
          <w:rFonts w:hint="eastAsia"/>
          <w:szCs w:val="32"/>
        </w:rPr>
        <w:t>违反本条例第三十二条第一款、第四十二条第一款规定，养老机构未与入住老年人或者其代理人签订服务合同，或者未按照标准和规范配备管理人员、服务人员以及其他专业人员的，由民政部门责令改正，给予警告；情节严重的，处三万元以下罚款。</w:t>
      </w:r>
    </w:p>
    <w:p>
      <w:pPr>
        <w:pStyle w:val="Normal"/>
        <w:ind w:endChars="0" w:end="0"/>
        <w:rPr>
          <w:rFonts w:hint="eastAsia"/>
          <w:szCs w:val="32"/>
        </w:rPr>
      </w:pPr>
      <w:r>
        <w:rPr>
          <w:rFonts w:hint="eastAsia" w:eastAsia="黑体"/>
          <w:szCs w:val="32"/>
        </w:rPr>
        <w:t>第五十九条</w:t>
      </w:r>
      <w:r>
        <w:rPr>
          <w:szCs w:val="32"/>
        </w:rPr>
        <w:t xml:space="preserve">  </w:t>
      </w:r>
      <w:r>
        <w:rPr>
          <w:rFonts w:hint="eastAsia"/>
          <w:szCs w:val="32"/>
        </w:rPr>
        <w:t>有关行政主管部门及其工作人员在养老机构监督管理工作中滥用职权、玩忽职守、徇私舞弊的，对直接负责的主管人员和其他直接责任人员依法给予处分；构成犯罪的，依法追究刑事责任。</w:t>
      </w:r>
    </w:p>
    <w:p>
      <w:pPr>
        <w:pStyle w:val="Normal"/>
        <w:ind w:endChars="0" w:end="0"/>
        <w:rPr>
          <w:rFonts w:hint="eastAsia"/>
          <w:szCs w:val="32"/>
        </w:rPr>
      </w:pPr>
      <w:r>
        <w:rPr>
          <w:rFonts w:hint="eastAsia"/>
          <w:szCs w:val="32"/>
        </w:rPr>
      </w:r>
    </w:p>
    <w:p>
      <w:pPr>
        <w:pStyle w:val="Normal"/>
        <w:ind w:firstLineChars="0" w:firstLine="0" w:endChars="0" w:end="0"/>
        <w:jc w:val="center"/>
        <w:rPr>
          <w:rFonts w:eastAsia="黑体"/>
          <w:szCs w:val="32"/>
        </w:rPr>
      </w:pPr>
      <w:r>
        <w:rPr>
          <w:rFonts w:hint="eastAsia" w:eastAsia="黑体"/>
          <w:szCs w:val="32"/>
        </w:rPr>
        <w:t>第九章</w:t>
      </w:r>
      <w:r>
        <w:rPr>
          <w:rFonts w:eastAsia="黑体"/>
          <w:szCs w:val="32"/>
        </w:rPr>
        <w:t xml:space="preserve">  </w:t>
      </w:r>
      <w:r>
        <w:rPr>
          <w:rFonts w:hint="eastAsia" w:eastAsia="黑体"/>
          <w:szCs w:val="32"/>
        </w:rPr>
        <w:t>附则</w:t>
      </w:r>
    </w:p>
    <w:p>
      <w:pPr>
        <w:pStyle w:val="Normal"/>
        <w:ind w:endChars="0" w:end="0"/>
        <w:rPr>
          <w:rFonts w:eastAsia="黑体"/>
          <w:szCs w:val="32"/>
        </w:rPr>
      </w:pPr>
      <w:r>
        <w:rPr>
          <w:rFonts w:eastAsia="黑体"/>
          <w:szCs w:val="32"/>
        </w:rPr>
      </w:r>
    </w:p>
    <w:p>
      <w:pPr>
        <w:pStyle w:val="Normal"/>
        <w:ind w:endChars="0" w:end="0"/>
        <w:rPr>
          <w:rFonts w:hint="eastAsia"/>
          <w:szCs w:val="32"/>
        </w:rPr>
      </w:pPr>
      <w:r>
        <w:rPr>
          <w:rFonts w:hint="eastAsia" w:eastAsia="黑体"/>
          <w:szCs w:val="32"/>
        </w:rPr>
        <w:t>第六十条</w:t>
      </w:r>
      <w:r>
        <w:rPr>
          <w:rFonts w:eastAsia="黑体"/>
          <w:szCs w:val="32"/>
        </w:rPr>
        <w:t xml:space="preserve"> </w:t>
      </w:r>
      <w:r>
        <w:rPr>
          <w:szCs w:val="32"/>
        </w:rPr>
        <w:t xml:space="preserve"> </w:t>
      </w:r>
      <w:r>
        <w:rPr>
          <w:rFonts w:hint="eastAsia"/>
          <w:szCs w:val="32"/>
        </w:rPr>
        <w:t>本条例自</w:t>
      </w:r>
      <w:r>
        <w:rPr>
          <w:szCs w:val="32"/>
        </w:rPr>
        <w:t>2015</w:t>
      </w:r>
      <w:r>
        <w:rPr>
          <w:rFonts w:hint="eastAsia"/>
          <w:szCs w:val="32"/>
        </w:rPr>
        <w:t>年</w:t>
      </w:r>
      <w:r>
        <w:rPr>
          <w:szCs w:val="32"/>
        </w:rPr>
        <w:t>5</w:t>
      </w:r>
      <w:r>
        <w:rPr>
          <w:rFonts w:hint="eastAsia"/>
          <w:szCs w:val="32"/>
        </w:rPr>
        <w:t>月</w:t>
      </w:r>
      <w:r>
        <w:rPr>
          <w:szCs w:val="32"/>
        </w:rPr>
        <w:t>1</w:t>
      </w:r>
      <w:r>
        <w:rPr>
          <w:rFonts w:hint="eastAsia"/>
          <w:szCs w:val="32"/>
        </w:rPr>
        <w:t>日起施行。</w:t>
      </w:r>
    </w:p>
    <w:p>
      <w:pPr>
        <w:pStyle w:val="Normal"/>
        <w:tabs>
          <w:tab w:val="clear" w:pos="425"/>
          <w:tab w:val="left" w:pos="7200" w:leader="none"/>
          <w:tab w:val="left" w:pos="7740" w:leader="none"/>
        </w:tabs>
        <w:spacing w:lineRule="exact" w:line="14"/>
        <w:ind w:firstLineChars="0" w:firstLine="0" w:endChars="0" w:end="0"/>
        <w:rPr>
          <w:rFonts w:hint="eastAsia"/>
          <w:szCs w:val="32"/>
        </w:rPr>
      </w:pPr>
      <w:r>
        <w:rPr>
          <w:rFonts w:hint="eastAsia"/>
          <w:szCs w:val="32"/>
        </w:rPr>
      </w:r>
      <w:bookmarkEnd w:id="0"/>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方正黑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2020-08-17T10:08:00Z</dcterms:created>
  <dc:creator>admin</dc:creator>
  <dc:description/>
  <dc:language>en-US</dc:language>
  <cp:lastModifiedBy>1</cp:lastModifiedBy>
  <cp:lastPrinted>2018-06-27T14:51:00Z</cp:lastPrinted>
  <dcterms:modified xsi:type="dcterms:W3CDTF">2020-09-17T09:00:56Z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