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
        <w:spacing w:lineRule="exact" w:line="700"/>
        <w:jc w:val="center"/>
        <w:rPr>
          <w:rFonts w:ascii="宋体;SimSun" w:hAnsi="宋体;SimSun" w:cs="宋体;SimSun"/>
          <w:sz w:val="44"/>
          <w:lang w:val="zh-CN"/>
        </w:rPr>
      </w:pPr>
      <w:r>
        <w:rPr>
          <w:rFonts w:ascii="宋体;SimSun" w:hAnsi="宋体;SimSun" w:cs="宋体;SimSun" w:hint="eastAsia"/>
          <w:sz w:val="44"/>
          <w:lang w:val="zh-CN"/>
        </w:rPr>
        <w:t>西藏自治区人民代表大会常务委员会</w:t>
      </w:r>
    </w:p>
    <w:p>
      <w:pPr>
        <w:pStyle w:val="Normal"/>
        <w:spacing w:lineRule="exact" w:line="700"/>
        <w:jc w:val="center"/>
        <w:rPr>
          <w:rFonts w:ascii="宋体;SimSun" w:hAnsi="宋体;SimSun" w:cs="宋体;SimSun" w:hint="eastAsia"/>
          <w:sz w:val="44"/>
          <w:lang w:val="zh-CN"/>
        </w:rPr>
      </w:pPr>
      <w:r>
        <w:rPr>
          <w:rFonts w:ascii="宋体;SimSun" w:hAnsi="宋体;SimSun" w:cs="宋体;SimSun" w:hint="eastAsia"/>
          <w:sz w:val="44"/>
          <w:lang w:val="zh-CN"/>
        </w:rPr>
        <w:t>关于大气污染物和水污染物</w:t>
      </w:r>
    </w:p>
    <w:p>
      <w:pPr>
        <w:pStyle w:val="Normal"/>
        <w:spacing w:lineRule="exact" w:line="700"/>
        <w:jc w:val="center"/>
        <w:rPr>
          <w:rFonts w:ascii="宋体;SimSun" w:hAnsi="宋体;SimSun" w:cs="宋体;SimSun" w:hint="eastAsia"/>
          <w:sz w:val="44"/>
          <w:lang w:val="zh-CN"/>
        </w:rPr>
      </w:pPr>
      <w:r>
        <w:rPr>
          <w:rFonts w:ascii="宋体;SimSun" w:hAnsi="宋体;SimSun" w:cs="宋体;SimSun" w:hint="eastAsia"/>
          <w:sz w:val="44"/>
          <w:lang w:val="zh-CN"/>
        </w:rPr>
        <w:t>适用税额的决定</w:t>
      </w:r>
    </w:p>
    <w:p>
      <w:pPr>
        <w:pStyle w:val="New1"/>
        <w:spacing w:lineRule="exact" w:line="500"/>
        <w:jc w:val="center"/>
        <w:rPr>
          <w:rFonts w:ascii="方正小标宋简体" w:hAnsi="方正小标宋简体" w:eastAsia="方正小标宋简体" w:cs="方正小标宋简体" w:hint="eastAsia"/>
          <w:sz w:val="44"/>
          <w:szCs w:val="20"/>
          <w:lang w:val="zh-CN"/>
        </w:rPr>
      </w:pPr>
      <w:r>
        <w:rPr>
          <w:rFonts w:eastAsia="方正小标宋简体" w:cs="方正小标宋简体" w:hint="eastAsia" w:ascii="方正小标宋简体" w:hAnsi="方正小标宋简体"/>
          <w:sz w:val="44"/>
          <w:szCs w:val="20"/>
          <w:lang w:val="zh-CN"/>
        </w:rPr>
      </w:r>
    </w:p>
    <w:p>
      <w:pPr>
        <w:pStyle w:val="Normal"/>
        <w:spacing w:lineRule="exact" w:line="400"/>
        <w:ind w:hangingChars="350" w:startChars="0" w:start="0" w:endChars="0" w:end="0"/>
        <w:jc w:val="center"/>
        <w:rPr>
          <w:rFonts w:ascii="方正楷体简体" w:hAnsi="方正楷体简体" w:eastAsia="方正楷体简体" w:cs="仿宋" w:hint="eastAsia"/>
          <w:sz w:val="32"/>
          <w:szCs w:val="32"/>
          <w:lang w:bidi="mn-Mong-CN"/>
        </w:rPr>
      </w:pPr>
      <w:r>
        <w:rPr>
          <w:rFonts w:ascii="方正楷体简体" w:hAnsi="方正楷体简体" w:cs="仿宋" w:hint="eastAsia" w:eastAsia="方正楷体简体"/>
          <w:sz w:val="32"/>
          <w:szCs w:val="32"/>
          <w:lang w:bidi="mn-Mong-CN"/>
        </w:rPr>
        <w:t>（</w:t>
      </w:r>
      <w:r>
        <w:rPr>
          <w:rFonts w:eastAsia="方正楷体简体" w:cs="仿宋" w:hint="eastAsia" w:ascii="方正楷体简体" w:hAnsi="方正楷体简体"/>
          <w:sz w:val="32"/>
          <w:szCs w:val="32"/>
          <w:lang w:bidi="mn-Mong-CN"/>
        </w:rPr>
        <w:t>2018</w:t>
      </w:r>
      <w:r>
        <w:rPr>
          <w:rFonts w:ascii="方正楷体简体" w:hAnsi="方正楷体简体" w:cs="仿宋" w:hint="eastAsia" w:eastAsia="方正楷体简体"/>
          <w:sz w:val="32"/>
          <w:szCs w:val="32"/>
          <w:lang w:bidi="mn-Mong-CN"/>
        </w:rPr>
        <w:t>年</w:t>
      </w:r>
      <w:r>
        <w:rPr>
          <w:rFonts w:eastAsia="方正楷体简体" w:cs="仿宋" w:hint="eastAsia" w:ascii="方正楷体简体" w:hAnsi="方正楷体简体"/>
          <w:sz w:val="32"/>
          <w:szCs w:val="32"/>
          <w:lang w:bidi="mn-Mong-CN"/>
        </w:rPr>
        <w:t>1</w:t>
      </w:r>
      <w:r>
        <w:rPr>
          <w:rFonts w:ascii="方正楷体简体" w:hAnsi="方正楷体简体" w:cs="仿宋" w:hint="eastAsia" w:eastAsia="方正楷体简体"/>
          <w:sz w:val="32"/>
          <w:szCs w:val="32"/>
          <w:lang w:bidi="mn-Mong-CN"/>
        </w:rPr>
        <w:t>月</w:t>
      </w:r>
      <w:r>
        <w:rPr>
          <w:rFonts w:eastAsia="方正楷体简体" w:cs="仿宋" w:hint="eastAsia" w:ascii="方正楷体简体" w:hAnsi="方正楷体简体"/>
          <w:sz w:val="32"/>
          <w:szCs w:val="32"/>
          <w:lang w:bidi="mn-Mong-CN"/>
        </w:rPr>
        <w:t>18</w:t>
      </w:r>
      <w:r>
        <w:rPr>
          <w:rFonts w:ascii="方正楷体简体" w:hAnsi="方正楷体简体" w:cs="仿宋" w:hint="eastAsia" w:eastAsia="方正楷体简体"/>
          <w:sz w:val="32"/>
          <w:szCs w:val="32"/>
          <w:lang w:bidi="mn-Mong-CN"/>
        </w:rPr>
        <w:t>日西藏自治区第十届人民代表大会</w:t>
      </w:r>
    </w:p>
    <w:p>
      <w:pPr>
        <w:pStyle w:val="Normal"/>
        <w:spacing w:lineRule="exact" w:line="400"/>
        <w:ind w:hangingChars="350" w:startChars="0" w:start="0" w:endChars="0" w:end="0"/>
        <w:jc w:val="center"/>
        <w:rPr>
          <w:rFonts w:ascii="方正楷体简体" w:hAnsi="方正楷体简体" w:eastAsia="方正楷体简体" w:cs="仿宋" w:hint="eastAsia"/>
          <w:sz w:val="32"/>
          <w:szCs w:val="32"/>
          <w:lang w:bidi="mn-Mong-CN"/>
        </w:rPr>
      </w:pPr>
      <w:r>
        <w:rPr>
          <w:rFonts w:ascii="方正楷体简体" w:hAnsi="方正楷体简体" w:cs="仿宋" w:hint="eastAsia" w:eastAsia="方正楷体简体"/>
          <w:sz w:val="32"/>
          <w:szCs w:val="32"/>
          <w:lang w:bidi="mn-Mong-CN"/>
        </w:rPr>
        <w:t>常务委员会第三十八次会议通过）</w:t>
      </w:r>
    </w:p>
    <w:p>
      <w:pPr>
        <w:pStyle w:val="Normal"/>
        <w:spacing w:lineRule="exact" w:line="576"/>
        <w:ind w:firstLineChars="200" w:startChars="0" w:start="0" w:endChars="0" w:end="0"/>
        <w:rPr>
          <w:rFonts w:ascii="仿宋_GB2312" w:hAnsi="仿宋_GB2312" w:eastAsia="仿宋_GB2312" w:cs="方正仿宋简体" w:hint="eastAsia"/>
          <w:sz w:val="32"/>
          <w:szCs w:val="32"/>
          <w:lang w:val="zh-CN" w:bidi="mn-Mong-CN"/>
        </w:rPr>
      </w:pPr>
      <w:r>
        <w:rPr>
          <w:rFonts w:eastAsia="仿宋_GB2312" w:cs="方正仿宋简体" w:hint="eastAsia" w:ascii="仿宋_GB2312" w:hAnsi="仿宋_GB2312"/>
          <w:sz w:val="32"/>
          <w:szCs w:val="32"/>
          <w:lang w:val="zh-CN" w:bidi="mn-Mong-CN"/>
        </w:rPr>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西藏自治区第十届人民代表大会常务委员会第三十八次会议听取了《西藏自治区人民政府关于提请审议〈西藏自治区大气污染物和水污染物适用税额的决定</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草案</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〉的议案》，会议同意西藏自治区人民代表大会财政经济委员会提出的审议意见，决定批准《西藏自治区大气污染物和水污染物适用税额的决定</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草案</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》。根据《中华人民共和国环境保护税法》第六条、第九条规定，结合我区实际，西藏自治区第十届人民代表大会常务委员会第三十八次会议决定</w:t>
      </w:r>
      <w:r>
        <w:rPr>
          <w:rFonts w:eastAsia="仿宋_GB2312" w:cs="方正仿宋简体" w:hint="eastAsia" w:ascii="仿宋_GB2312" w:hAnsi="仿宋_GB2312"/>
          <w:sz w:val="32"/>
          <w:lang w:val="zh-CN"/>
        </w:rPr>
        <w:t>:</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西藏自治区应税大气污染物环境保护税适用税额为每污染当量</w:t>
      </w:r>
      <w:r>
        <w:rPr>
          <w:rFonts w:eastAsia="仿宋_GB2312" w:cs="方正仿宋简体" w:hint="eastAsia" w:ascii="仿宋_GB2312" w:hAnsi="仿宋_GB2312"/>
          <w:sz w:val="32"/>
          <w:lang w:val="zh-CN"/>
        </w:rPr>
        <w:t>1.2</w:t>
      </w:r>
      <w:r>
        <w:rPr>
          <w:rFonts w:ascii="仿宋_GB2312" w:hAnsi="仿宋_GB2312" w:cs="方正仿宋简体" w:hint="eastAsia" w:eastAsia="仿宋_GB2312"/>
          <w:sz w:val="32"/>
          <w:lang w:val="zh-CN"/>
        </w:rPr>
        <w:t>元；应税水污染物环境保护税适用税额为每污染当量</w:t>
      </w:r>
      <w:r>
        <w:rPr>
          <w:rFonts w:eastAsia="仿宋_GB2312" w:cs="方正仿宋简体" w:hint="eastAsia" w:ascii="仿宋_GB2312" w:hAnsi="仿宋_GB2312"/>
          <w:sz w:val="32"/>
          <w:lang w:val="zh-CN"/>
        </w:rPr>
        <w:t>1.4</w:t>
      </w:r>
      <w:r>
        <w:rPr>
          <w:rFonts w:ascii="仿宋_GB2312" w:hAnsi="仿宋_GB2312" w:cs="方正仿宋简体" w:hint="eastAsia" w:eastAsia="仿宋_GB2312"/>
          <w:sz w:val="32"/>
          <w:lang w:val="zh-CN"/>
        </w:rPr>
        <w:t>元；同一排放口应税污染物项目数不作增加，按照《中华人民共和国环境保护税法》第九条第一、第二款规定执行。</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自治区人大常委会将根据我区环境承载能力、污染物排放情况的变化和经济社会生态发展目标要求，适时对税额做出调整。</w:t>
      </w:r>
    </w:p>
    <w:p>
      <w:pPr>
        <w:pStyle w:val="Normal"/>
        <w:autoSpaceDE w:val="false"/>
        <w:spacing w:lineRule="exact" w:line="700"/>
        <w:ind w:firstLineChars="200" w:startChars="0" w:start="0" w:endChars="0" w:end="0"/>
        <w:rPr>
          <w:rFonts w:ascii="仿宋_GB2312" w:hAnsi="仿宋_GB2312" w:eastAsia="仿宋_GB2312" w:cs="方正仿宋简体"/>
          <w:sz w:val="32"/>
          <w:lang w:val="zh-CN"/>
        </w:rPr>
      </w:pPr>
      <w:r>
        <w:rPr>
          <w:rFonts w:ascii="仿宋_GB2312" w:hAnsi="仿宋_GB2312" w:cs="方正仿宋简体" w:hint="eastAsia" w:eastAsia="仿宋_GB2312"/>
          <w:sz w:val="32"/>
          <w:lang w:val="zh-CN"/>
        </w:rPr>
        <w:t>本决定自</w:t>
      </w:r>
      <w:r>
        <w:rPr>
          <w:rFonts w:eastAsia="仿宋_GB2312" w:cs="方正仿宋简体" w:hint="eastAsia" w:ascii="仿宋_GB2312" w:hAnsi="仿宋_GB2312"/>
          <w:sz w:val="32"/>
          <w:lang w:val="zh-CN"/>
        </w:rPr>
        <w:t>2018</w:t>
      </w:r>
      <w:r>
        <w:rPr>
          <w:rFonts w:ascii="仿宋_GB2312" w:hAnsi="仿宋_GB2312" w:cs="方正仿宋简体" w:hint="eastAsia" w:eastAsia="仿宋_GB2312"/>
          <w:sz w:val="32"/>
          <w:lang w:val="zh-CN"/>
        </w:rPr>
        <w:t>年</w:t>
      </w:r>
      <w:r>
        <w:rPr>
          <w:rFonts w:eastAsia="仿宋_GB2312" w:cs="方正仿宋简体" w:hint="eastAsia" w:ascii="仿宋_GB2312" w:hAnsi="仿宋_GB2312"/>
          <w:sz w:val="32"/>
          <w:lang w:val="zh-CN"/>
        </w:rPr>
        <w:t>1</w:t>
      </w:r>
      <w:r>
        <w:rPr>
          <w:rFonts w:ascii="仿宋_GB2312" w:hAnsi="仿宋_GB2312" w:cs="方正仿宋简体" w:hint="eastAsia" w:eastAsia="仿宋_GB2312"/>
          <w:sz w:val="32"/>
          <w:lang w:val="zh-CN"/>
        </w:rPr>
        <w:t>月</w:t>
      </w:r>
      <w:r>
        <w:rPr>
          <w:rFonts w:eastAsia="仿宋_GB2312" w:cs="方正仿宋简体" w:hint="eastAsia" w:ascii="仿宋_GB2312" w:hAnsi="仿宋_GB2312"/>
          <w:sz w:val="32"/>
          <w:lang w:val="zh-CN"/>
        </w:rPr>
        <w:t>1</w:t>
      </w:r>
      <w:r>
        <w:rPr>
          <w:rFonts w:ascii="仿宋_GB2312" w:hAnsi="仿宋_GB2312" w:cs="方正仿宋简体" w:hint="eastAsia" w:eastAsia="仿宋_GB2312"/>
          <w:sz w:val="32"/>
          <w:lang w:val="zh-CN"/>
        </w:rPr>
        <w:t>日起施行。</w:t>
      </w:r>
    </w:p>
    <w:p>
      <w:pPr>
        <w:pStyle w:val="Normal"/>
        <w:spacing w:lineRule="exact" w:line="700"/>
        <w:rPr/>
      </w:pPr>
      <w:r>
        <w:rPr/>
        <w:t xml:space="preserve"> </w:t>
      </w:r>
    </w:p>
    <w:sectPr>
      <w:footerReference w:type="default" r:id="rId2"/>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仿宋简体">
    <w:charset w:val="86"/>
    <w:family w:val="script"/>
    <w:pitch w:val="default"/>
  </w:font>
  <w:font w:name="方正小标宋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00330" cy="253365"/>
              <wp:effectExtent l="0" t="0" r="0" b="0"/>
              <wp:wrapNone/>
              <wp:docPr id="1" name="Frame1"/>
              <a:graphic xmlns:a="http://schemas.openxmlformats.org/drawingml/2006/main">
                <a:graphicData uri="http://schemas.microsoft.com/office/word/2010/wordprocessingShape">
                  <wps:wsp>
                    <wps:cNvSpPr txBox="1"/>
                    <wps:spPr>
                      <a:xfrm>
                        <a:off x="0" y="0"/>
                        <a:ext cx="100330" cy="253365"/>
                      </a:xfrm>
                      <a:prstGeom prst="rect"/>
                      <a:solidFill>
                        <a:srgbClr val="FFFFFF">
                          <a:alpha val="0"/>
                        </a:srgbClr>
                      </a:solidFill>
                    </wps:spPr>
                    <wps:txbx>
                      <w:txbxContent>
                        <w:p>
                          <w:pPr>
                            <w:pStyle w:val="Footer"/>
                            <w:spacing w:lineRule="exact" w:line="397"/>
                            <w:ind w:firstLineChars="0" w:firstLine="0" w:startChars="100" w:endChars="100"/>
                            <w:jc w:val="both"/>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19.9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spacing w:lineRule="exact" w:line="397"/>
                      <w:ind w:firstLineChars="0" w:firstLine="0" w:startChars="100" w:endChars="100"/>
                      <w:jc w:val="both"/>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2z0">
    <w:name w:val="WW8Num2z0"/>
    <w:qFormat/>
    <w:rPr>
      <w:rFonts w:ascii="楷体_GB2312" w:hAnsi="楷体_GB2312" w:eastAsia="楷体_GB2312" w:hint="eastAsia"/>
    </w:rPr>
  </w:style>
  <w:style w:type="character" w:styleId="WW8Num5z0">
    <w:name w:val="WW8Num5z0"/>
    <w:qFormat/>
    <w:rPr>
      <w:rFonts w:ascii="黑体;SimHei" w:hAnsi="黑体;SimHei" w:eastAsia="黑体;SimHei" w:cs="黑体;SimHei"/>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黑体;SimHei" w:hAnsi="黑体;SimHei" w:eastAsia="黑体;SimHei" w:cs="黑体;SimHei"/>
    </w:rPr>
  </w:style>
  <w:style w:type="character" w:styleId="WW8Num13z0">
    <w:name w:val="WW8Num13z0"/>
    <w:qFormat/>
    <w:rPr/>
  </w:style>
  <w:style w:type="character" w:styleId="WW8Num14z0">
    <w:name w:val="WW8Num14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Char">
    <w:name w:val=" Char"/>
    <w:basedOn w:val="NewNewNewNew"/>
    <w:qFormat/>
    <w:pPr>
      <w:widowControl w:val="false"/>
      <w:spacing w:lineRule="auto" w:line="60"/>
      <w:ind w:firstLineChars="200" w:startChars="0" w:start="0" w:endChars="0" w:end="0"/>
      <w:textAlignment w:val="auto"/>
    </w:pPr>
    <w:rPr/>
  </w:style>
  <w:style w:type="paragraph" w:styleId="NewNew">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
    <w:name w:val="普通(网站) New"/>
    <w:basedOn w:val="NewNew"/>
    <w:qFormat/>
    <w:pPr>
      <w:widowControl/>
      <w:spacing w:before="280" w:after="280"/>
      <w:jc w:val="start"/>
    </w:pPr>
    <w:rPr>
      <w:rFonts w:ascii="宋体;SimSun" w:hAnsi="宋体;SimSun" w:cs="宋体;SimSun"/>
      <w:kern w:val="0"/>
      <w:sz w:val="24"/>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color w:val="auto"/>
      <w:kern w:val="2"/>
      <w:sz w:val="21"/>
      <w:szCs w:val="20"/>
      <w:lang w:bidi="mn-Mong-CN" w:val="en-US" w:eastAsia="zh-CN"/>
    </w:rPr>
  </w:style>
  <w:style w:type="paragraph" w:styleId="NormalWeb">
    <w:name w:val="Normal (Web)"/>
    <w:basedOn w:val="Normal"/>
    <w:qFormat/>
    <w:pPr>
      <w:widowControl/>
      <w:spacing w:before="280" w:after="280"/>
      <w:jc w:val="start"/>
    </w:pPr>
    <w:rPr>
      <w:rFonts w:ascii="宋体;SimSun" w:hAnsi="宋体;SimSun" w:cs="宋体;SimSun"/>
      <w:color w:val="000000"/>
      <w:kern w:val="0"/>
      <w:sz w:val="24"/>
      <w:szCs w:val="24"/>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SimSun" w:hAnsi="宋体;SimSun" w:cs="宋体;SimSun"/>
      <w:sz w:val="24"/>
      <w:szCs w:val="24"/>
    </w:rPr>
  </w:style>
  <w:style w:type="paragraph" w:styleId="Style15">
    <w:name w:val="普通(网站)"/>
    <w:basedOn w:val="Normal"/>
    <w:qFormat/>
    <w:pPr>
      <w:spacing w:before="280" w:after="280"/>
      <w:jc w:val="start"/>
    </w:pPr>
    <w:rPr>
      <w:rFonts w:ascii="宋体;SimSun" w:hAnsi="宋体;SimSun" w:cs="宋体;SimSun" w:hint="eastAsia"/>
      <w:color w:val="000000"/>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2018-04-16T17:33:00Z</dcterms:created>
  <dc:creator>Administrator</dc:creator>
  <dc:description/>
  <cp:keywords/>
  <dc:language>en-US</dc:language>
  <cp:lastModifiedBy>ad</cp:lastModifiedBy>
  <cp:lastPrinted>2018-04-10T12:09:00Z</cp:lastPrinted>
  <dcterms:modified xsi:type="dcterms:W3CDTF">2018-04-16T17:33:00Z</dcterms:modified>
  <cp:revision>2</cp:revision>
  <dc:subject/>
  <dc:title>藏常备〔2018〕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