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jc w:val="both"/>
        <w:rPr>
          <w:rFonts w:ascii="宋体" w:hAnsi="宋体" w:eastAsia="宋体" w:cs="宋体" w:hint="eastAsia"/>
          <w:sz w:val="32"/>
          <w:szCs w:val="44"/>
        </w:rPr>
      </w:pPr>
      <w:r>
        <w:rPr>
          <w:rFonts w:eastAsia="宋体" w:cs="宋体" w:hint="eastAsia" w:ascii="宋体" w:hAnsi="宋体"/>
          <w:sz w:val="32"/>
          <w:szCs w:val="44"/>
        </w:rPr>
      </w:r>
    </w:p>
    <w:p>
      <w:pPr>
        <w:pStyle w:val="Style15"/>
        <w:jc w:val="both"/>
        <w:rPr>
          <w:rFonts w:ascii="宋体" w:hAnsi="宋体" w:eastAsia="宋体" w:cs="宋体" w:hint="eastAsia"/>
          <w:sz w:val="32"/>
          <w:szCs w:val="44"/>
        </w:rPr>
      </w:pPr>
      <w:r>
        <w:rPr>
          <w:rFonts w:eastAsia="宋体" w:cs="宋体" w:hint="eastAsia" w:ascii="宋体" w:hAnsi="宋体"/>
          <w:sz w:val="32"/>
          <w:szCs w:val="44"/>
        </w:rPr>
      </w:r>
    </w:p>
    <w:p>
      <w:pPr>
        <w:pStyle w:val="Style15"/>
        <w:keepNext w:val="false"/>
        <w:keepLines w:val="false"/>
        <w:pageBreakBefore w:val="false"/>
        <w:widowControl w:val="false"/>
        <w:kinsoku w:val="true"/>
        <w:overflowPunct w:val="true"/>
        <w:bidi w:val="0"/>
        <w:snapToGrid w:val="true"/>
        <w:spacing w:lineRule="exact" w:line="576" w:before="0" w:after="0"/>
        <w:ind w:firstLineChars="0" w:firstLine="0" w:startChars="0" w:start="0" w:endChars="0" w:end="0"/>
        <w:jc w:val="center"/>
        <w:rPr>
          <w:rFonts w:ascii="方正仿宋简体" w:hAnsi="方正仿宋简体" w:eastAsia="方正仿宋简体" w:cs="方正仿宋简体"/>
          <w:color w:val="000000"/>
          <w:spacing w:val="-8"/>
          <w:kern w:val="0"/>
          <w:sz w:val="24"/>
          <w:szCs w:val="24"/>
        </w:rPr>
      </w:pPr>
      <w:r>
        <w:rPr>
          <w:rFonts w:ascii="宋体" w:hAnsi="宋体" w:cs="宋体" w:hint="eastAsia" w:eastAsia="宋体"/>
          <w:sz w:val="44"/>
          <w:szCs w:val="44"/>
        </w:rPr>
        <w:t>拉萨市老城区保护条例</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楷体_GB2312;楷体" w:hAnsi="楷体_GB2312;楷体" w:eastAsia="楷体_GB2312;楷体" w:cs="方正楷体简体" w:hint="eastAsia"/>
          <w:color w:val="000000"/>
          <w:spacing w:val="-8"/>
          <w:kern w:val="0"/>
          <w:sz w:val="32"/>
          <w:szCs w:val="32"/>
          <w:lang w:val="zh-CN" w:bidi="bo-CN"/>
        </w:rPr>
      </w:pPr>
      <w:r>
        <w:rPr>
          <w:rFonts w:eastAsia="楷体_GB2312;楷体" w:cs="方正楷体简体" w:hint="eastAsia" w:ascii="楷体_GB2312;楷体" w:hAnsi="楷体_GB2312;楷体"/>
          <w:color w:val="000000"/>
          <w:spacing w:val="-8"/>
          <w:kern w:val="0"/>
          <w:sz w:val="32"/>
          <w:szCs w:val="32"/>
          <w:lang w:val="zh-CN" w:bidi="bo-CN"/>
        </w:rPr>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center"/>
        <w:rPr>
          <w:rFonts w:ascii="楷体_GB2312;楷体" w:hAnsi="楷体_GB2312;楷体" w:eastAsia="楷体_GB2312;楷体" w:cs="方正楷体简体" w:hint="eastAsia"/>
          <w:color w:val="000000"/>
          <w:kern w:val="0"/>
          <w:sz w:val="32"/>
          <w:szCs w:val="32"/>
          <w:lang w:val="zh-CN" w:bidi="bo-CN"/>
        </w:rPr>
      </w:pPr>
      <w:r>
        <w:rPr>
          <w:rFonts w:ascii="楷体_GB2312;楷体" w:hAnsi="楷体_GB2312;楷体" w:cs="方正楷体简体" w:hint="eastAsia" w:eastAsia="楷体_GB2312;楷体"/>
          <w:color w:val="000000"/>
          <w:kern w:val="0"/>
          <w:sz w:val="32"/>
          <w:szCs w:val="32"/>
          <w:lang w:val="zh-CN" w:bidi="bo-CN"/>
        </w:rPr>
        <w:t>（</w:t>
      </w:r>
      <w:r>
        <w:rPr>
          <w:rFonts w:eastAsia="楷体_GB2312;楷体" w:cs="方正楷体简体" w:hint="eastAsia" w:ascii="楷体_GB2312;楷体" w:hAnsi="楷体_GB2312;楷体"/>
          <w:color w:val="000000"/>
          <w:kern w:val="0"/>
          <w:sz w:val="32"/>
          <w:szCs w:val="32"/>
          <w:lang w:val="zh-CN" w:bidi="bo-CN"/>
        </w:rPr>
        <w:t>2013</w:t>
      </w:r>
      <w:r>
        <w:rPr>
          <w:rFonts w:ascii="楷体_GB2312;楷体" w:hAnsi="楷体_GB2312;楷体" w:cs="方正楷体简体" w:hint="eastAsia" w:eastAsia="楷体_GB2312;楷体"/>
          <w:color w:val="000000"/>
          <w:kern w:val="0"/>
          <w:sz w:val="32"/>
          <w:szCs w:val="32"/>
          <w:lang w:val="zh-CN" w:bidi="bo-CN"/>
        </w:rPr>
        <w:t>年</w:t>
      </w:r>
      <w:r>
        <w:rPr>
          <w:rFonts w:eastAsia="楷体_GB2312;楷体" w:cs="方正楷体简体" w:hint="eastAsia" w:ascii="楷体_GB2312;楷体" w:hAnsi="楷体_GB2312;楷体"/>
          <w:color w:val="000000"/>
          <w:kern w:val="0"/>
          <w:sz w:val="32"/>
          <w:szCs w:val="32"/>
          <w:lang w:val="zh-CN" w:bidi="bo-CN"/>
        </w:rPr>
        <w:t>6</w:t>
      </w:r>
      <w:r>
        <w:rPr>
          <w:rFonts w:ascii="楷体_GB2312;楷体" w:hAnsi="楷体_GB2312;楷体" w:cs="方正楷体简体" w:hint="eastAsia" w:eastAsia="楷体_GB2312;楷体"/>
          <w:color w:val="000000"/>
          <w:kern w:val="0"/>
          <w:sz w:val="32"/>
          <w:szCs w:val="32"/>
          <w:lang w:val="zh-CN" w:bidi="bo-CN"/>
        </w:rPr>
        <w:t>月</w:t>
      </w:r>
      <w:r>
        <w:rPr>
          <w:rFonts w:eastAsia="楷体_GB2312;楷体" w:cs="方正楷体简体" w:hint="eastAsia" w:ascii="楷体_GB2312;楷体" w:hAnsi="楷体_GB2312;楷体"/>
          <w:color w:val="000000"/>
          <w:kern w:val="0"/>
          <w:sz w:val="32"/>
          <w:szCs w:val="32"/>
          <w:lang w:val="zh-CN" w:bidi="bo-CN"/>
        </w:rPr>
        <w:t>17</w:t>
      </w:r>
      <w:r>
        <w:rPr>
          <w:rFonts w:ascii="楷体_GB2312;楷体" w:hAnsi="楷体_GB2312;楷体" w:cs="方正楷体简体" w:hint="eastAsia" w:eastAsia="楷体_GB2312;楷体"/>
          <w:color w:val="000000"/>
          <w:kern w:val="0"/>
          <w:sz w:val="32"/>
          <w:szCs w:val="32"/>
          <w:lang w:val="zh-CN" w:bidi="bo-CN"/>
        </w:rPr>
        <w:t>日拉萨市第十届人民代表大会常务委员会第九次会议通过</w:t>
      </w:r>
      <w:r>
        <w:rPr>
          <w:rFonts w:ascii="楷体_GB2312;楷体" w:hAnsi="楷体_GB2312;楷体" w:cs="方正楷体简体" w:hint="eastAsia" w:eastAsia="楷体_GB2312;楷体"/>
          <w:color w:val="000000"/>
          <w:kern w:val="0"/>
          <w:sz w:val="32"/>
          <w:szCs w:val="32"/>
          <w:lang w:bidi="bo-CN"/>
        </w:rPr>
        <w:t xml:space="preserve">  </w:t>
      </w:r>
      <w:r>
        <w:rPr>
          <w:rFonts w:eastAsia="楷体_GB2312;楷体" w:cs="方正楷体简体" w:hint="eastAsia" w:ascii="楷体_GB2312;楷体" w:hAnsi="楷体_GB2312;楷体"/>
          <w:color w:val="000000"/>
          <w:kern w:val="0"/>
          <w:sz w:val="32"/>
          <w:szCs w:val="32"/>
          <w:lang w:val="zh-CN" w:bidi="bo-CN"/>
        </w:rPr>
        <w:t>2013</w:t>
      </w:r>
      <w:r>
        <w:rPr>
          <w:rFonts w:ascii="楷体_GB2312;楷体" w:hAnsi="楷体_GB2312;楷体" w:cs="方正楷体简体" w:hint="eastAsia" w:eastAsia="楷体_GB2312;楷体"/>
          <w:color w:val="000000"/>
          <w:kern w:val="0"/>
          <w:sz w:val="32"/>
          <w:szCs w:val="32"/>
          <w:lang w:val="zh-CN" w:bidi="bo-CN"/>
        </w:rPr>
        <w:t>年</w:t>
      </w:r>
      <w:r>
        <w:rPr>
          <w:rFonts w:eastAsia="楷体_GB2312;楷体" w:cs="方正楷体简体" w:hint="eastAsia" w:ascii="楷体_GB2312;楷体" w:hAnsi="楷体_GB2312;楷体"/>
          <w:color w:val="000000"/>
          <w:kern w:val="0"/>
          <w:sz w:val="32"/>
          <w:szCs w:val="32"/>
          <w:lang w:val="zh-CN" w:bidi="bo-CN"/>
        </w:rPr>
        <w:t>7</w:t>
      </w:r>
      <w:r>
        <w:rPr>
          <w:rFonts w:ascii="楷体_GB2312;楷体" w:hAnsi="楷体_GB2312;楷体" w:cs="方正楷体简体" w:hint="eastAsia" w:eastAsia="楷体_GB2312;楷体"/>
          <w:color w:val="000000"/>
          <w:kern w:val="0"/>
          <w:sz w:val="32"/>
          <w:szCs w:val="32"/>
          <w:lang w:val="zh-CN" w:bidi="bo-CN"/>
        </w:rPr>
        <w:t>月</w:t>
      </w:r>
      <w:r>
        <w:rPr>
          <w:rFonts w:eastAsia="楷体_GB2312;楷体" w:cs="方正楷体简体" w:hint="eastAsia" w:ascii="楷体_GB2312;楷体" w:hAnsi="楷体_GB2312;楷体"/>
          <w:color w:val="000000"/>
          <w:kern w:val="0"/>
          <w:sz w:val="32"/>
          <w:szCs w:val="32"/>
          <w:lang w:val="zh-CN" w:bidi="bo-CN"/>
        </w:rPr>
        <w:t>25</w:t>
      </w:r>
      <w:r>
        <w:rPr>
          <w:rFonts w:ascii="楷体_GB2312;楷体" w:hAnsi="楷体_GB2312;楷体" w:cs="方正楷体简体" w:hint="eastAsia" w:eastAsia="楷体_GB2312;楷体"/>
          <w:color w:val="000000"/>
          <w:kern w:val="0"/>
          <w:sz w:val="32"/>
          <w:szCs w:val="32"/>
          <w:lang w:val="zh-CN" w:bidi="bo-CN"/>
        </w:rPr>
        <w:t>日西藏自治区第十届人民代表大会常务委员会第五次会议批准）</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楷体" w:hAnsi="楷体" w:eastAsia="楷体" w:cs="方正楷体简体" w:hint="eastAsia"/>
          <w:color w:val="000000"/>
          <w:kern w:val="0"/>
          <w:sz w:val="32"/>
          <w:szCs w:val="32"/>
          <w:lang w:val="zh-CN" w:bidi="bo-CN"/>
        </w:rPr>
      </w:pPr>
      <w:r>
        <w:rPr>
          <w:rFonts w:eastAsia="楷体" w:cs="方正楷体简体" w:hint="eastAsia" w:ascii="楷体" w:hAnsi="楷体"/>
          <w:color w:val="000000"/>
          <w:kern w:val="0"/>
          <w:sz w:val="32"/>
          <w:szCs w:val="32"/>
          <w:lang w:val="zh-CN" w:bidi="bo-CN"/>
        </w:rPr>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200"/>
        <w:jc w:val="center"/>
        <w:textAlignment w:val="center"/>
        <w:rPr>
          <w:rFonts w:ascii="楷体_GB2312;楷体" w:hAnsi="楷体_GB2312;楷体" w:eastAsia="楷体_GB2312;楷体" w:cs="方正楷体简体" w:hint="eastAsia"/>
          <w:color w:val="000000"/>
          <w:kern w:val="0"/>
          <w:sz w:val="32"/>
          <w:szCs w:val="32"/>
          <w:lang w:val="zh-CN" w:bidi="bo-CN"/>
        </w:rPr>
      </w:pPr>
      <w:r>
        <w:rPr>
          <w:rFonts w:ascii="楷体_GB2312;楷体" w:hAnsi="楷体_GB2312;楷体" w:cs="方正楷体简体" w:hint="eastAsia" w:eastAsia="楷体_GB2312;楷体"/>
          <w:color w:val="000000"/>
          <w:kern w:val="0"/>
          <w:sz w:val="32"/>
          <w:szCs w:val="32"/>
          <w:lang w:val="zh-CN" w:bidi="bo-CN"/>
        </w:rPr>
        <w:t>目  录</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200"/>
        <w:jc w:val="start"/>
        <w:textAlignment w:val="center"/>
        <w:rPr>
          <w:rFonts w:ascii="楷体_GB2312;楷体" w:hAnsi="楷体_GB2312;楷体" w:eastAsia="楷体_GB2312;楷体" w:cs="方正黑体简体" w:hint="eastAsia"/>
          <w:color w:val="000000"/>
          <w:kern w:val="0"/>
          <w:sz w:val="32"/>
          <w:szCs w:val="32"/>
          <w:lang w:val="zh-CN" w:bidi="bo-CN"/>
        </w:rPr>
      </w:pPr>
      <w:r>
        <w:rPr>
          <w:rFonts w:ascii="楷体_GB2312;楷体" w:hAnsi="楷体_GB2312;楷体" w:cs="方正黑体简体" w:hint="eastAsia" w:eastAsia="楷体_GB2312;楷体"/>
          <w:color w:val="000000"/>
          <w:kern w:val="0"/>
          <w:sz w:val="32"/>
          <w:szCs w:val="32"/>
          <w:lang w:val="zh-CN" w:bidi="bo-CN"/>
        </w:rPr>
        <w:t>第一章　总  则</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200"/>
        <w:jc w:val="start"/>
        <w:textAlignment w:val="center"/>
        <w:rPr>
          <w:rFonts w:ascii="楷体_GB2312;楷体" w:hAnsi="楷体_GB2312;楷体" w:eastAsia="楷体_GB2312;楷体" w:cs="方正仿宋简体" w:hint="eastAsia"/>
          <w:color w:val="000000"/>
          <w:spacing w:val="-8"/>
          <w:kern w:val="0"/>
          <w:sz w:val="32"/>
          <w:szCs w:val="32"/>
          <w:lang w:val="zh-CN" w:bidi="bo-CN"/>
        </w:rPr>
      </w:pPr>
      <w:r>
        <w:rPr>
          <w:rFonts w:ascii="楷体_GB2312;楷体" w:hAnsi="楷体_GB2312;楷体" w:cs="方正仿宋简体" w:hint="eastAsia" w:eastAsia="楷体_GB2312;楷体"/>
          <w:color w:val="000000"/>
          <w:spacing w:val="-8"/>
          <w:kern w:val="0"/>
          <w:sz w:val="32"/>
          <w:szCs w:val="32"/>
          <w:lang w:val="zh-CN" w:bidi="bo-CN"/>
        </w:rPr>
        <w:t>第二章　保  护</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200"/>
        <w:jc w:val="start"/>
        <w:textAlignment w:val="center"/>
        <w:rPr>
          <w:rFonts w:ascii="楷体_GB2312;楷体" w:hAnsi="楷体_GB2312;楷体" w:eastAsia="楷体_GB2312;楷体" w:cs="方正仿宋简体" w:hint="eastAsia"/>
          <w:color w:val="000000"/>
          <w:spacing w:val="-8"/>
          <w:kern w:val="0"/>
          <w:sz w:val="32"/>
          <w:szCs w:val="32"/>
          <w:lang w:val="zh-CN" w:bidi="bo-CN"/>
        </w:rPr>
      </w:pPr>
      <w:r>
        <w:rPr>
          <w:rFonts w:ascii="楷体_GB2312;楷体" w:hAnsi="楷体_GB2312;楷体" w:cs="方正仿宋简体" w:hint="eastAsia" w:eastAsia="楷体_GB2312;楷体"/>
          <w:color w:val="000000"/>
          <w:spacing w:val="-8"/>
          <w:kern w:val="0"/>
          <w:sz w:val="32"/>
          <w:szCs w:val="32"/>
          <w:lang w:val="zh-CN" w:bidi="bo-CN"/>
        </w:rPr>
        <w:t>第三章　管  理</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200"/>
        <w:jc w:val="start"/>
        <w:textAlignment w:val="center"/>
        <w:rPr>
          <w:rFonts w:ascii="楷体_GB2312;楷体" w:hAnsi="楷体_GB2312;楷体" w:eastAsia="楷体_GB2312;楷体" w:cs="方正仿宋简体" w:hint="eastAsia"/>
          <w:color w:val="000000"/>
          <w:spacing w:val="-8"/>
          <w:kern w:val="0"/>
          <w:sz w:val="32"/>
          <w:szCs w:val="32"/>
          <w:lang w:val="zh-CN" w:bidi="bo-CN"/>
        </w:rPr>
      </w:pPr>
      <w:r>
        <w:rPr>
          <w:rFonts w:ascii="楷体_GB2312;楷体" w:hAnsi="楷体_GB2312;楷体" w:cs="方正仿宋简体" w:hint="eastAsia" w:eastAsia="楷体_GB2312;楷体"/>
          <w:color w:val="000000"/>
          <w:spacing w:val="-8"/>
          <w:kern w:val="0"/>
          <w:sz w:val="32"/>
          <w:szCs w:val="32"/>
          <w:lang w:val="zh-CN" w:bidi="bo-CN"/>
        </w:rPr>
        <w:t>第四章　利  用</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200"/>
        <w:jc w:val="start"/>
        <w:textAlignment w:val="center"/>
        <w:rPr>
          <w:rFonts w:ascii="楷体_GB2312;楷体" w:hAnsi="楷体_GB2312;楷体" w:eastAsia="楷体_GB2312;楷体" w:cs="方正仿宋简体" w:hint="eastAsia"/>
          <w:color w:val="000000"/>
          <w:spacing w:val="-8"/>
          <w:kern w:val="0"/>
          <w:sz w:val="32"/>
          <w:szCs w:val="32"/>
          <w:lang w:val="zh-CN" w:bidi="bo-CN"/>
        </w:rPr>
      </w:pPr>
      <w:r>
        <w:rPr>
          <w:rFonts w:ascii="楷体_GB2312;楷体" w:hAnsi="楷体_GB2312;楷体" w:cs="方正仿宋简体" w:hint="eastAsia" w:eastAsia="楷体_GB2312;楷体"/>
          <w:color w:val="000000"/>
          <w:spacing w:val="-8"/>
          <w:kern w:val="0"/>
          <w:sz w:val="32"/>
          <w:szCs w:val="32"/>
          <w:lang w:val="zh-CN" w:bidi="bo-CN"/>
        </w:rPr>
        <w:t>第五章　法律责任</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200"/>
        <w:jc w:val="start"/>
        <w:textAlignment w:val="center"/>
        <w:rPr>
          <w:rFonts w:ascii="楷体_GB2312;楷体" w:hAnsi="楷体_GB2312;楷体" w:eastAsia="楷体_GB2312;楷体" w:cs="方正仿宋简体" w:hint="eastAsia"/>
          <w:color w:val="000000"/>
          <w:spacing w:val="-8"/>
          <w:kern w:val="0"/>
          <w:sz w:val="32"/>
          <w:szCs w:val="32"/>
          <w:lang w:val="zh-CN" w:bidi="bo-CN"/>
        </w:rPr>
      </w:pPr>
      <w:r>
        <w:rPr>
          <w:rFonts w:ascii="楷体_GB2312;楷体" w:hAnsi="楷体_GB2312;楷体" w:cs="方正仿宋简体" w:hint="eastAsia" w:eastAsia="楷体_GB2312;楷体"/>
          <w:color w:val="000000"/>
          <w:spacing w:val="-8"/>
          <w:kern w:val="0"/>
          <w:sz w:val="32"/>
          <w:szCs w:val="32"/>
          <w:lang w:val="zh-CN" w:bidi="bo-CN"/>
        </w:rPr>
        <w:t>第六章　附 则</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方正仿宋简体" w:hAnsi="方正仿宋简体" w:eastAsia="方正仿宋简体" w:cs="方正仿宋简体" w:hint="eastAsia"/>
          <w:color w:val="000000"/>
          <w:spacing w:val="-8"/>
          <w:kern w:val="0"/>
          <w:sz w:val="32"/>
          <w:szCs w:val="24"/>
          <w:lang w:val="zh-CN" w:bidi="bo-CN"/>
        </w:rPr>
      </w:pPr>
      <w:r>
        <w:rPr>
          <w:rFonts w:eastAsia="方正仿宋简体" w:cs="方正仿宋简体" w:hint="eastAsia" w:ascii="方正仿宋简体" w:hAnsi="方正仿宋简体"/>
          <w:color w:val="000000"/>
          <w:spacing w:val="-8"/>
          <w:kern w:val="0"/>
          <w:sz w:val="32"/>
          <w:szCs w:val="24"/>
          <w:lang w:val="zh-CN" w:bidi="bo-CN"/>
        </w:rPr>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center"/>
        <w:rPr>
          <w:rFonts w:ascii="黑体" w:hAnsi="黑体" w:eastAsia="黑体" w:cs="方正黑体简体"/>
          <w:color w:val="000000"/>
          <w:kern w:val="0"/>
          <w:sz w:val="32"/>
          <w:szCs w:val="26"/>
          <w:lang w:val="zh-CN" w:bidi="bo-CN"/>
        </w:rPr>
      </w:pPr>
      <w:r>
        <w:rPr>
          <w:rFonts w:ascii="黑体" w:hAnsi="黑体" w:cs="方正黑体简体" w:hint="eastAsia" w:eastAsia="黑体"/>
          <w:color w:val="000000"/>
          <w:kern w:val="0"/>
          <w:sz w:val="32"/>
          <w:szCs w:val="26"/>
          <w:lang w:val="zh-CN" w:bidi="bo-CN"/>
        </w:rPr>
        <w:t>第一章</w:t>
      </w:r>
      <w:r>
        <w:rPr>
          <w:rFonts w:ascii="黑体" w:hAnsi="黑体" w:cs="方正黑体简体" w:hint="eastAsia" w:eastAsia="黑体"/>
          <w:color w:val="000000"/>
          <w:kern w:val="0"/>
          <w:sz w:val="32"/>
          <w:szCs w:val="26"/>
          <w:lang w:bidi="bo-CN"/>
        </w:rPr>
        <w:t xml:space="preserve">  </w:t>
      </w:r>
      <w:r>
        <w:rPr>
          <w:rFonts w:ascii="黑体" w:hAnsi="黑体" w:cs="方正黑体简体" w:hint="eastAsia" w:eastAsia="黑体"/>
          <w:color w:val="000000"/>
          <w:kern w:val="0"/>
          <w:sz w:val="32"/>
          <w:szCs w:val="26"/>
          <w:lang w:val="zh-CN" w:bidi="bo-CN"/>
        </w:rPr>
        <w:t>总则</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center"/>
        <w:rPr>
          <w:rFonts w:ascii="方正黑体简体" w:hAnsi="方正黑体简体" w:eastAsia="方正黑体简体" w:cs="方正黑体简体"/>
          <w:color w:val="000000"/>
          <w:kern w:val="0"/>
          <w:sz w:val="26"/>
          <w:szCs w:val="26"/>
          <w:lang w:val="zh-CN" w:bidi="bo-CN"/>
        </w:rPr>
      </w:pPr>
      <w:r>
        <w:rPr>
          <w:rFonts w:eastAsia="方正黑体简体" w:cs="方正黑体简体" w:ascii="方正黑体简体" w:hAnsi="方正黑体简体"/>
          <w:color w:val="000000"/>
          <w:kern w:val="0"/>
          <w:sz w:val="26"/>
          <w:szCs w:val="26"/>
          <w:lang w:val="zh-CN" w:bidi="bo-CN"/>
        </w:rPr>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 w:hAnsi="仿宋" w:eastAsia="仿宋" w:cs="方正仿宋简体"/>
          <w:color w:val="000000"/>
          <w:spacing w:val="-8"/>
          <w:kern w:val="0"/>
          <w:sz w:val="32"/>
          <w:szCs w:val="32"/>
          <w:lang w:val="zh-CN" w:bidi="bo-CN"/>
        </w:rPr>
      </w:pPr>
      <w:r>
        <w:rPr>
          <w:rFonts w:ascii="黑体" w:hAnsi="黑体" w:cs="方正仿宋简体" w:hint="eastAsia" w:eastAsia="黑体"/>
          <w:color w:val="000000"/>
          <w:spacing w:val="-5"/>
          <w:kern w:val="0"/>
          <w:sz w:val="32"/>
          <w:szCs w:val="32"/>
          <w:lang w:val="zh-CN" w:bidi="bo-CN"/>
        </w:rPr>
        <w:t>第</w:t>
      </w:r>
      <w:r>
        <w:rPr>
          <w:rFonts w:ascii="黑体" w:hAnsi="黑体" w:cs="方正仿宋简体" w:hint="eastAsia" w:eastAsia="黑体"/>
          <w:color w:val="000000"/>
          <w:spacing w:val="-8"/>
          <w:kern w:val="0"/>
          <w:sz w:val="32"/>
          <w:szCs w:val="32"/>
          <w:lang w:val="zh-CN" w:bidi="bo-CN"/>
        </w:rPr>
        <w:t>一条</w:t>
      </w:r>
      <w:r>
        <w:rPr>
          <w:rFonts w:ascii="仿宋_GB2312" w:hAnsi="仿宋_GB2312" w:cs="方正仿宋简体" w:hint="eastAsia" w:eastAsia="仿宋_GB2312"/>
          <w:color w:val="000000"/>
          <w:spacing w:val="-8"/>
          <w:kern w:val="0"/>
          <w:sz w:val="32"/>
          <w:szCs w:val="32"/>
          <w:lang w:val="zh-CN" w:bidi="bo-CN"/>
        </w:rPr>
        <w:t xml:space="preserve">  为了加强对拉萨老城区保护，继承民族优秀历史文化遗产，根据《中华人民共和国城乡规划法》、《中华人民共和国文物保护法》等相关法律、法规的规定，结合本市实际，制定本条例。</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第二条</w:t>
      </w:r>
      <w:r>
        <w:rPr>
          <w:rFonts w:ascii="仿宋" w:hAnsi="仿宋" w:cs="方正仿宋简体" w:eastAsia="仿宋"/>
          <w:color w:val="000000"/>
          <w:spacing w:val="-8"/>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本条例所称老城区是指拉萨市市区林廓东路以西、江苏路以北、朵森格路以东、林廓北路以南，总面积</w:t>
      </w:r>
      <w:r>
        <w:rPr>
          <w:rFonts w:eastAsia="仿宋_GB2312" w:cs="方正仿宋简体" w:hint="eastAsia" w:ascii="仿宋_GB2312" w:hAnsi="仿宋_GB2312"/>
          <w:color w:val="000000"/>
          <w:spacing w:val="-8"/>
          <w:kern w:val="0"/>
          <w:sz w:val="32"/>
          <w:szCs w:val="32"/>
          <w:lang w:val="zh-CN" w:bidi="bo-CN"/>
        </w:rPr>
        <w:t>1.33</w:t>
      </w:r>
      <w:r>
        <w:rPr>
          <w:rFonts w:ascii="仿宋_GB2312" w:hAnsi="仿宋_GB2312" w:cs="方正仿宋简体" w:hint="eastAsia" w:eastAsia="仿宋_GB2312"/>
          <w:color w:val="000000"/>
          <w:spacing w:val="-8"/>
          <w:kern w:val="0"/>
          <w:sz w:val="32"/>
          <w:szCs w:val="32"/>
          <w:lang w:val="zh-CN" w:bidi="bo-CN"/>
        </w:rPr>
        <w:t>平方公里。</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第三条</w:t>
      </w:r>
      <w:r>
        <w:rPr>
          <w:rFonts w:ascii="仿宋" w:hAnsi="仿宋" w:cs="方正仿宋简体" w:eastAsia="仿宋"/>
          <w:color w:val="000000"/>
          <w:spacing w:val="-8"/>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老城区区域内的任何单位、组织和个人以及进入老城区内的任何单位、组织和个人应当遵守本条例。</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 w:hAnsi="仿宋" w:eastAsia="仿宋" w:cs="方正仿宋简体"/>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第四条</w:t>
      </w:r>
      <w:r>
        <w:rPr>
          <w:rFonts w:ascii="仿宋" w:hAnsi="仿宋" w:cs="方正仿宋简体" w:eastAsia="仿宋"/>
          <w:color w:val="000000"/>
          <w:spacing w:val="-8"/>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老城区保护应当遵循传承历史、保护为主、严格管理、合理利用、保持传统特色的原则。</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 w:hAnsi="仿宋" w:eastAsia="仿宋" w:cs="方正仿宋简体"/>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第五条</w:t>
      </w:r>
      <w:r>
        <w:rPr>
          <w:rFonts w:ascii="仿宋" w:hAnsi="仿宋" w:cs="方正仿宋简体" w:eastAsia="仿宋"/>
          <w:color w:val="000000"/>
          <w:spacing w:val="-8"/>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拉萨市人民政府应当加强对老城区保护工作的统一领导，将老城区保护纳入国民经济和社会发展计划，所需经费列入财政预算。</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第六条</w:t>
      </w:r>
      <w:r>
        <w:rPr>
          <w:rFonts w:ascii="仿宋" w:hAnsi="仿宋" w:cs="方正仿宋简体" w:eastAsia="仿宋"/>
          <w:color w:val="000000"/>
          <w:spacing w:val="-8"/>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 xml:space="preserve"> 拉萨市人民政府设立老城区保护机构，老城区保护机构为拉萨市人民政府派出机构，负责老城区保护和管理工作。</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 w:hAnsi="仿宋" w:eastAsia="仿宋" w:cs="方正仿宋简体"/>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拉萨市发改、财政、文物、国土资源规划、住房和城乡建设、公安、消防、民族宗教、市政市容、旅游、环保、工商、商务、交通运输、林业绿化等主管部门和城关区人民政府按照各自职责，做好老城区的保护、管理和利用工作。</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第七条</w:t>
      </w:r>
      <w:r>
        <w:rPr>
          <w:rFonts w:ascii="仿宋" w:hAnsi="仿宋" w:cs="方正仿宋简体" w:eastAsia="仿宋"/>
          <w:color w:val="000000"/>
          <w:spacing w:val="-8"/>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拉萨市人民政府应当鼓励企业、事业单位、社会团体</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其他组织和个人参与老城区的保护。</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第八条</w:t>
      </w:r>
      <w:r>
        <w:rPr>
          <w:rFonts w:ascii="仿宋" w:hAnsi="仿宋" w:cs="方正仿宋简体" w:eastAsia="仿宋"/>
          <w:color w:val="000000"/>
          <w:spacing w:val="-8"/>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拉萨市人民政府应当对保护老城区作出突出贡献的组织和个人，给予表彰、奖励。</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第九条</w:t>
      </w:r>
      <w:r>
        <w:rPr>
          <w:rFonts w:ascii="仿宋" w:hAnsi="仿宋" w:cs="方正仿宋简体" w:eastAsia="仿宋"/>
          <w:color w:val="000000"/>
          <w:spacing w:val="-8"/>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任何组织和个人均有权对损害老城区的行为进行举报。</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eastAsia="仿宋_GB2312" w:cs="方正仿宋简体" w:hint="eastAsia" w:ascii="仿宋_GB2312" w:hAnsi="仿宋_GB2312"/>
          <w:color w:val="000000"/>
          <w:spacing w:val="-8"/>
          <w:kern w:val="0"/>
          <w:sz w:val="32"/>
          <w:szCs w:val="32"/>
          <w:lang w:val="zh-CN" w:bidi="bo-CN"/>
        </w:rPr>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center"/>
        <w:rPr>
          <w:rFonts w:ascii="黑体" w:hAnsi="黑体" w:eastAsia="黑体" w:cs="方正仿宋简体"/>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第二章</w:t>
      </w:r>
      <w:r>
        <w:rPr>
          <w:rFonts w:ascii="黑体" w:hAnsi="黑体" w:cs="方正仿宋简体" w:hint="eastAsia" w:eastAsia="黑体"/>
          <w:color w:val="000000"/>
          <w:spacing w:val="-8"/>
          <w:kern w:val="0"/>
          <w:sz w:val="32"/>
          <w:szCs w:val="32"/>
          <w:lang w:bidi="bo-CN"/>
        </w:rPr>
        <w:t xml:space="preserve">   </w:t>
      </w:r>
      <w:r>
        <w:rPr>
          <w:rFonts w:ascii="黑体" w:hAnsi="黑体" w:cs="方正仿宋简体" w:hint="eastAsia" w:eastAsia="黑体"/>
          <w:color w:val="000000"/>
          <w:spacing w:val="-8"/>
          <w:kern w:val="0"/>
          <w:sz w:val="32"/>
          <w:szCs w:val="32"/>
          <w:lang w:val="zh-CN" w:bidi="bo-CN"/>
        </w:rPr>
        <w:t>保护</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center"/>
        <w:rPr>
          <w:rFonts w:ascii="仿宋" w:hAnsi="仿宋" w:eastAsia="仿宋" w:cs="方正仿宋简体"/>
          <w:color w:val="000000"/>
          <w:spacing w:val="-8"/>
          <w:kern w:val="0"/>
          <w:sz w:val="32"/>
          <w:szCs w:val="32"/>
          <w:lang w:val="zh-CN" w:bidi="bo-CN"/>
        </w:rPr>
      </w:pPr>
      <w:r>
        <w:rPr>
          <w:rFonts w:eastAsia="仿宋" w:cs="方正仿宋简体" w:ascii="仿宋" w:hAnsi="仿宋"/>
          <w:color w:val="000000"/>
          <w:spacing w:val="-8"/>
          <w:kern w:val="0"/>
          <w:sz w:val="32"/>
          <w:szCs w:val="32"/>
          <w:lang w:val="zh-CN" w:bidi="bo-CN"/>
        </w:rPr>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第十条</w:t>
      </w:r>
      <w:r>
        <w:rPr>
          <w:rFonts w:ascii="仿宋" w:hAnsi="仿宋" w:cs="方正仿宋简体" w:eastAsia="仿宋"/>
          <w:color w:val="000000"/>
          <w:spacing w:val="-8"/>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拉萨市人民政府负责组织编制《拉萨市老城区保护规划》，经自治区人民政府批准后公布实施。</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第十一条</w:t>
      </w:r>
      <w:r>
        <w:rPr>
          <w:rFonts w:ascii="仿宋" w:hAnsi="仿宋" w:cs="方正仿宋简体" w:eastAsia="仿宋"/>
          <w:color w:val="000000"/>
          <w:spacing w:val="-8"/>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 xml:space="preserve"> 拉萨老城区分为核心保护区和保护缓冲区。</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核心保护区为围绕八廓街为主体形成的历史文化中心区，建（构）筑物高度不得超过</w:t>
      </w:r>
      <w:r>
        <w:rPr>
          <w:rFonts w:eastAsia="仿宋_GB2312" w:cs="方正仿宋简体" w:hint="eastAsia" w:ascii="仿宋_GB2312" w:hAnsi="仿宋_GB2312"/>
          <w:color w:val="000000"/>
          <w:spacing w:val="-8"/>
          <w:kern w:val="0"/>
          <w:sz w:val="32"/>
          <w:szCs w:val="32"/>
          <w:lang w:val="zh-CN" w:bidi="bo-CN"/>
        </w:rPr>
        <w:t>10</w:t>
      </w:r>
      <w:r>
        <w:rPr>
          <w:rFonts w:ascii="仿宋_GB2312" w:hAnsi="仿宋_GB2312" w:cs="方正仿宋简体" w:hint="eastAsia" w:eastAsia="仿宋_GB2312"/>
          <w:color w:val="000000"/>
          <w:spacing w:val="-8"/>
          <w:kern w:val="0"/>
          <w:sz w:val="32"/>
          <w:szCs w:val="32"/>
          <w:lang w:val="zh-CN" w:bidi="bo-CN"/>
        </w:rPr>
        <w:t>米；大昭寺广场周边建（构）筑物高度应当与核心保护区保持一致。</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老城区其他区域为保护缓冲区，建（构）筑物高度不得超过</w:t>
      </w:r>
      <w:r>
        <w:rPr>
          <w:rFonts w:eastAsia="仿宋_GB2312" w:cs="方正仿宋简体" w:hint="eastAsia" w:ascii="仿宋_GB2312" w:hAnsi="仿宋_GB2312"/>
          <w:color w:val="000000"/>
          <w:spacing w:val="-8"/>
          <w:kern w:val="0"/>
          <w:sz w:val="32"/>
          <w:szCs w:val="32"/>
          <w:lang w:val="zh-CN" w:bidi="bo-CN"/>
        </w:rPr>
        <w:t>12</w:t>
      </w:r>
      <w:r>
        <w:rPr>
          <w:rFonts w:ascii="仿宋_GB2312" w:hAnsi="仿宋_GB2312" w:cs="方正仿宋简体" w:hint="eastAsia" w:eastAsia="仿宋_GB2312"/>
          <w:color w:val="000000"/>
          <w:spacing w:val="-8"/>
          <w:kern w:val="0"/>
          <w:sz w:val="32"/>
          <w:szCs w:val="32"/>
          <w:lang w:val="zh-CN" w:bidi="bo-CN"/>
        </w:rPr>
        <w:t>米。</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第十二条</w:t>
      </w:r>
      <w:r>
        <w:rPr>
          <w:rFonts w:ascii="仿宋" w:hAnsi="仿宋" w:cs="方正仿宋简体" w:eastAsia="仿宋"/>
          <w:color w:val="000000"/>
          <w:spacing w:val="-8"/>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老城区核心保护区内，除经过审批的基础设施和公共服务设施外，不得进行新建、改建、扩建和拆除建（构）筑物；进行房屋、设施整修和功能配置调整时，外观应当保持原状。</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老城区保护缓冲区内改建、新建的建（构）筑物，其体量、高度、色彩及形式应当与相邻部位的风貌相一致。</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对不符合老城区总体风貌的现有建（构）筑物逐步拆除、改建，具体方案由老城区保护机构提出，按照有关程序报经批准后实施。</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第十三条</w:t>
      </w:r>
      <w:r>
        <w:rPr>
          <w:rFonts w:ascii="仿宋" w:hAnsi="仿宋" w:cs="方正仿宋简体" w:eastAsia="仿宋"/>
          <w:color w:val="000000"/>
          <w:spacing w:val="-8"/>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老城区内的历史街巷应当保持原有的视线道廊、空间尺度及历史原貌。</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第十四条</w:t>
      </w:r>
      <w:r>
        <w:rPr>
          <w:rFonts w:ascii="仿宋" w:hAnsi="仿宋" w:cs="方正仿宋简体" w:eastAsia="仿宋"/>
          <w:color w:val="000000"/>
          <w:spacing w:val="-8"/>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未经老城区保护机构批准，不得擅自修缮、改造老城区内的建（构）筑物。</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老城区内传统建（构）筑物、古建大院的管理、维护和修缮由所有权人负责。</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对影响老城区市政市容和行人安全的危旧传统建（构）筑物及危险建（构）筑物，老城区保护机构应当组织鉴定，确需整修的由所有权人予以整修。</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所有权人在维护、修缮、整修过程中确有困难的，按照有关规定给予补助。</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尚未申报或未公布为文物保护单位，但具有一定文化、历史、纪念意义的古建大院，参照《中华人民共和国文物保护法》规定进行管理。</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第十五条</w:t>
      </w:r>
      <w:r>
        <w:rPr>
          <w:rFonts w:ascii="仿宋" w:hAnsi="仿宋" w:cs="方正仿宋简体" w:eastAsia="仿宋"/>
          <w:color w:val="000000"/>
          <w:spacing w:val="-8"/>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老城区保护范围内的古建大院及传统建（构）筑物被确定为文物的，拉萨市人民政府应当按照《中华人民共和国文物保护法》的规定进行管理，并设立保护标志。</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 w:hAnsi="仿宋" w:eastAsia="仿宋" w:cs="方正仿宋简体" w:hint="eastAsia"/>
          <w:color w:val="000000"/>
          <w:spacing w:val="-8"/>
          <w:kern w:val="0"/>
          <w:sz w:val="32"/>
          <w:szCs w:val="32"/>
          <w:lang w:val="zh-CN" w:bidi="bo-CN"/>
        </w:rPr>
      </w:pPr>
      <w:r>
        <w:rPr>
          <w:rFonts w:eastAsia="仿宋" w:cs="方正仿宋简体" w:hint="eastAsia" w:ascii="仿宋" w:hAnsi="仿宋"/>
          <w:color w:val="000000"/>
          <w:spacing w:val="-8"/>
          <w:kern w:val="0"/>
          <w:sz w:val="32"/>
          <w:szCs w:val="32"/>
          <w:lang w:val="zh-CN" w:bidi="bo-CN"/>
        </w:rPr>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center"/>
        <w:rPr>
          <w:rFonts w:ascii="黑体" w:hAnsi="黑体" w:eastAsia="黑体" w:cs="方正仿宋简体"/>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第三章</w:t>
      </w:r>
      <w:r>
        <w:rPr>
          <w:rFonts w:ascii="黑体" w:hAnsi="黑体" w:cs="方正仿宋简体" w:hint="eastAsia" w:eastAsia="黑体"/>
          <w:color w:val="000000"/>
          <w:spacing w:val="-8"/>
          <w:kern w:val="0"/>
          <w:sz w:val="32"/>
          <w:szCs w:val="32"/>
          <w:lang w:bidi="bo-CN"/>
        </w:rPr>
        <w:t xml:space="preserve">   </w:t>
      </w:r>
      <w:r>
        <w:rPr>
          <w:rFonts w:ascii="黑体" w:hAnsi="黑体" w:cs="方正仿宋简体" w:hint="eastAsia" w:eastAsia="黑体"/>
          <w:color w:val="000000"/>
          <w:spacing w:val="-8"/>
          <w:kern w:val="0"/>
          <w:sz w:val="32"/>
          <w:szCs w:val="32"/>
          <w:lang w:val="zh-CN" w:bidi="bo-CN"/>
        </w:rPr>
        <w:t>管理</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center"/>
        <w:rPr>
          <w:rFonts w:ascii="仿宋" w:hAnsi="仿宋" w:eastAsia="仿宋" w:cs="方正仿宋简体"/>
          <w:color w:val="000000"/>
          <w:spacing w:val="-8"/>
          <w:kern w:val="0"/>
          <w:sz w:val="32"/>
          <w:szCs w:val="32"/>
          <w:lang w:val="zh-CN" w:bidi="bo-CN"/>
        </w:rPr>
      </w:pPr>
      <w:r>
        <w:rPr>
          <w:rFonts w:eastAsia="仿宋" w:cs="方正仿宋简体" w:ascii="仿宋" w:hAnsi="仿宋"/>
          <w:color w:val="000000"/>
          <w:spacing w:val="-8"/>
          <w:kern w:val="0"/>
          <w:sz w:val="32"/>
          <w:szCs w:val="32"/>
          <w:lang w:val="zh-CN" w:bidi="bo-CN"/>
        </w:rPr>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第十六条</w:t>
      </w:r>
      <w:r>
        <w:rPr>
          <w:rFonts w:ascii="仿宋" w:hAnsi="仿宋" w:cs="方正仿宋简体" w:eastAsia="仿宋"/>
          <w:color w:val="000000"/>
          <w:spacing w:val="-8"/>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老城区核心保护区内，除执行公务的公安、消防车辆以及救护、环卫、殡葬等车辆外，其他机动车辆未经老城区保护机构批准不得进入；自行车、三轮车等非机动车辆应当推行，并停放在指定地点。</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第十七条</w:t>
      </w:r>
      <w:r>
        <w:rPr>
          <w:rFonts w:ascii="仿宋" w:hAnsi="仿宋" w:cs="方正仿宋简体" w:eastAsia="仿宋"/>
          <w:color w:val="000000"/>
          <w:spacing w:val="-8"/>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老城区核心保护区内禁止设置户外广告、电子显示屏，安装遮光篷、遮雨篷、阳光棚。</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第十八条</w:t>
      </w:r>
      <w:r>
        <w:rPr>
          <w:rFonts w:ascii="仿宋" w:hAnsi="仿宋" w:cs="方正仿宋简体" w:eastAsia="仿宋"/>
          <w:color w:val="000000"/>
          <w:spacing w:val="-8"/>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任何单位和个人不得损毁传统建（构）筑物的保护标志。</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第十九条</w:t>
      </w:r>
      <w:r>
        <w:rPr>
          <w:rFonts w:ascii="仿宋" w:hAnsi="仿宋" w:cs="方正仿宋简体" w:eastAsia="仿宋"/>
          <w:color w:val="000000"/>
          <w:spacing w:val="-8"/>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通讯、电力、有线电视、供暖、给排水、消防等公益性基础设施建设需要在老城区挖掘道路的，应当向老城区保护机构提出申请，并附修复方案，经同意后办理相关手续。</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第二十条</w:t>
      </w:r>
      <w:r>
        <w:rPr>
          <w:rFonts w:ascii="仿宋" w:hAnsi="仿宋" w:cs="方正仿宋简体" w:eastAsia="仿宋"/>
          <w:color w:val="000000"/>
          <w:spacing w:val="-8"/>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在老城区内推广使用清洁能源；所有排烟装置应当采取消烟除尘措施。</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第二十一条</w:t>
      </w:r>
      <w:r>
        <w:rPr>
          <w:rFonts w:ascii="仿宋" w:hAnsi="仿宋" w:cs="方正仿宋简体" w:eastAsia="仿宋"/>
          <w:color w:val="000000"/>
          <w:spacing w:val="-8"/>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 xml:space="preserve"> 老城区保护机构应当加强垃圾网点的标准化建设，推行生活垃圾分类和袋装化，实行定时定点清理。</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第二十二条</w:t>
      </w:r>
      <w:r>
        <w:rPr>
          <w:rFonts w:ascii="黑体" w:hAnsi="黑体" w:cs="方正仿宋简体" w:eastAsia="黑体"/>
          <w:color w:val="000000"/>
          <w:spacing w:val="-8"/>
          <w:kern w:val="0"/>
          <w:sz w:val="32"/>
          <w:szCs w:val="32"/>
          <w:lang w:val="zh-CN" w:bidi="bo-CN"/>
        </w:rPr>
        <w:t xml:space="preserve"> </w:t>
      </w:r>
      <w:r>
        <w:rPr>
          <w:rFonts w:ascii="仿宋" w:hAnsi="仿宋" w:cs="方正仿宋简体" w:eastAsia="仿宋"/>
          <w:color w:val="000000"/>
          <w:spacing w:val="-8"/>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老城区内不得有下列影响老城区市容环境卫生和人身安全的行为：</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（一）随意丢弃垃圾；</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（二）随地吐痰、便溺；</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（三）乱倒、乱排污水；</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（四）焚烧垃圾或者其他废弃物；</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（五）设置宣传促销摊点，发放促销传单；</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（六）使用高音喇叭及其他噪音扰民行为；</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（七）损害市政公共设施及绿地、道路等；</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（八）占道经营、堆物作业等；</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（九）户外放养宠物或者畜禽；</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（十）燃放、生产、经营、存储烟花爆竹等易燃易爆物品；</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（十一）其他有损市容环境卫生的行为。</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第二十三条</w:t>
      </w:r>
      <w:r>
        <w:rPr>
          <w:rFonts w:ascii="仿宋" w:hAnsi="仿宋" w:cs="方正仿宋简体" w:eastAsia="仿宋"/>
          <w:color w:val="000000"/>
          <w:spacing w:val="-8"/>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在老城区内从事经营活动的单位和个人，不得有下列行为：</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（一）不按照规定的时间、地点经营的；</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（二）利用各种形式追客、拉客、宰客的；</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（三）所销售商品及服务未明码标价的。</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 w:hAnsi="仿宋" w:eastAsia="仿宋" w:cs="方正仿宋简体"/>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第二十四条</w:t>
      </w:r>
      <w:r>
        <w:rPr>
          <w:rFonts w:ascii="仿宋" w:hAnsi="仿宋" w:cs="方正仿宋简体" w:eastAsia="仿宋"/>
          <w:color w:val="000000"/>
          <w:spacing w:val="-8"/>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老城区内应当按照国家现行消防技术标准建设完善消防给水、消防通道、消防通信等公共消防设施。</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 w:hAnsi="仿宋" w:eastAsia="仿宋" w:cs="方正仿宋简体"/>
          <w:color w:val="000000"/>
          <w:spacing w:val="-8"/>
          <w:kern w:val="0"/>
          <w:sz w:val="32"/>
          <w:szCs w:val="32"/>
          <w:lang w:val="zh-CN" w:bidi="bo-CN"/>
        </w:rPr>
      </w:pPr>
      <w:r>
        <w:rPr>
          <w:rFonts w:eastAsia="仿宋" w:cs="方正仿宋简体" w:ascii="仿宋" w:hAnsi="仿宋"/>
          <w:color w:val="000000"/>
          <w:spacing w:val="-8"/>
          <w:kern w:val="0"/>
          <w:sz w:val="32"/>
          <w:szCs w:val="32"/>
          <w:lang w:val="zh-CN" w:bidi="bo-CN"/>
        </w:rPr>
        <w:t xml:space="preserve"> </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center"/>
        <w:rPr>
          <w:rFonts w:ascii="黑体" w:hAnsi="黑体" w:eastAsia="黑体" w:cs="方正仿宋简体"/>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第四章</w:t>
      </w:r>
      <w:r>
        <w:rPr>
          <w:rFonts w:ascii="黑体" w:hAnsi="黑体" w:cs="方正仿宋简体" w:hint="eastAsia" w:eastAsia="黑体"/>
          <w:color w:val="000000"/>
          <w:spacing w:val="-8"/>
          <w:kern w:val="0"/>
          <w:sz w:val="32"/>
          <w:szCs w:val="32"/>
          <w:lang w:bidi="bo-CN"/>
        </w:rPr>
        <w:t xml:space="preserve">  </w:t>
      </w:r>
      <w:r>
        <w:rPr>
          <w:rFonts w:ascii="黑体" w:hAnsi="黑体" w:cs="方正仿宋简体" w:hint="eastAsia" w:eastAsia="黑体"/>
          <w:color w:val="000000"/>
          <w:spacing w:val="-8"/>
          <w:kern w:val="0"/>
          <w:sz w:val="32"/>
          <w:szCs w:val="32"/>
          <w:lang w:val="zh-CN" w:bidi="bo-CN"/>
        </w:rPr>
        <w:t>利用</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center"/>
        <w:rPr>
          <w:rFonts w:ascii="仿宋" w:hAnsi="仿宋" w:eastAsia="仿宋" w:cs="方正仿宋简体"/>
          <w:color w:val="000000"/>
          <w:spacing w:val="-8"/>
          <w:kern w:val="0"/>
          <w:sz w:val="32"/>
          <w:szCs w:val="32"/>
          <w:lang w:val="zh-CN" w:bidi="bo-CN"/>
        </w:rPr>
      </w:pPr>
      <w:r>
        <w:rPr>
          <w:rFonts w:eastAsia="仿宋" w:cs="方正仿宋简体" w:ascii="仿宋" w:hAnsi="仿宋"/>
          <w:color w:val="000000"/>
          <w:spacing w:val="-8"/>
          <w:kern w:val="0"/>
          <w:sz w:val="32"/>
          <w:szCs w:val="32"/>
          <w:lang w:val="zh-CN" w:bidi="bo-CN"/>
        </w:rPr>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第二十五条</w:t>
      </w:r>
      <w:r>
        <w:rPr>
          <w:rFonts w:ascii="仿宋" w:hAnsi="仿宋" w:cs="方正仿宋简体" w:eastAsia="仿宋"/>
          <w:color w:val="000000"/>
          <w:spacing w:val="-8"/>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拉萨市人民政府应当对老城区的经营活动进行指导和监督，发布鼓励或者禁止经营的项目目录，重点发展具有当地民族特色的无污染、无公害产业，保持老城区的传统文化特色。</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老城区保护机构根据项目目录，合理安排老城区内商品经营市场布局，并予以公告。</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第二十六条</w:t>
      </w:r>
      <w:r>
        <w:rPr>
          <w:rFonts w:ascii="仿宋" w:hAnsi="仿宋" w:cs="方正仿宋简体" w:eastAsia="仿宋"/>
          <w:color w:val="000000"/>
          <w:spacing w:val="-8"/>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老城区内鼓励从事下列经营项目：</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（一）开办工艺品陈列室、展览馆、博物馆等文化旅游场馆；</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（二）无污染传统民间工艺品及旅游产品制作；</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（三）开办民俗客栈、旅馆、饭店等服务场所；</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（四）开发传统饮食业、开展娱乐业及民间艺术表演；</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（五）民间工艺品收藏、交易、展示；</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（六）其他应当鼓励的经营项目。</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第二十七条</w:t>
      </w:r>
      <w:r>
        <w:rPr>
          <w:rFonts w:ascii="仿宋" w:hAnsi="仿宋" w:cs="方正仿宋简体" w:eastAsia="仿宋"/>
          <w:color w:val="000000"/>
          <w:spacing w:val="-8"/>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老城区内的店铺招牌、门面装修、照明灯具等应当与老城区风貌、氛围相协调。</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老城区保护区内门牌、街道名称、旅游标志、保护标志、店铺招牌等应当使用藏、汉两种文字。</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第二十八条</w:t>
      </w:r>
      <w:r>
        <w:rPr>
          <w:rFonts w:ascii="仿宋" w:hAnsi="仿宋" w:cs="方正仿宋简体" w:eastAsia="仿宋"/>
          <w:color w:val="000000"/>
          <w:spacing w:val="-8"/>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 xml:space="preserve"> 对老城区内的传统民居不得有下列行为：</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（一）私自拆改、架设电线；</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（二）在公共用地或房顶上搭建建（构）筑物；</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（三）在外观墙壁、梁柱、门窗上涂写、刻画、张贴、悬挂物品；</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（四）其他破坏传统民居的行为。</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老城区内传统民居所有权人利用传统民居进行经营活动的，应当向老城区保护机构备案。</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第二十九条</w:t>
      </w:r>
      <w:r>
        <w:rPr>
          <w:rFonts w:ascii="仿宋" w:hAnsi="仿宋" w:cs="方正仿宋简体" w:eastAsia="仿宋"/>
          <w:color w:val="000000"/>
          <w:spacing w:val="-8"/>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在老城区公共场所举行的各类群众性活动，组织者在活动举行前应当征得老城区保护机构的同意。</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第三十条</w:t>
      </w:r>
      <w:r>
        <w:rPr>
          <w:rFonts w:ascii="仿宋" w:hAnsi="仿宋" w:cs="方正仿宋简体" w:eastAsia="仿宋"/>
          <w:color w:val="000000"/>
          <w:spacing w:val="-8"/>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拉萨市人民政府应当有计划地将老城区内的单位向新城区分流。</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 w:hAnsi="仿宋" w:eastAsia="仿宋" w:cs="方正仿宋简体" w:hint="eastAsia"/>
          <w:color w:val="000000"/>
          <w:spacing w:val="-8"/>
          <w:kern w:val="0"/>
          <w:sz w:val="32"/>
          <w:szCs w:val="32"/>
          <w:lang w:val="zh-CN" w:bidi="bo-CN"/>
        </w:rPr>
      </w:pPr>
      <w:r>
        <w:rPr>
          <w:rFonts w:eastAsia="仿宋" w:cs="方正仿宋简体" w:hint="eastAsia" w:ascii="仿宋" w:hAnsi="仿宋"/>
          <w:color w:val="000000"/>
          <w:spacing w:val="-8"/>
          <w:kern w:val="0"/>
          <w:sz w:val="32"/>
          <w:szCs w:val="32"/>
          <w:lang w:val="zh-CN" w:bidi="bo-CN"/>
        </w:rPr>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center"/>
        <w:rPr>
          <w:rFonts w:ascii="黑体" w:hAnsi="黑体" w:eastAsia="黑体" w:cs="方正仿宋简体"/>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第五章　法律责任</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center"/>
        <w:rPr>
          <w:rFonts w:ascii="仿宋" w:hAnsi="仿宋" w:eastAsia="仿宋" w:cs="方正仿宋简体"/>
          <w:color w:val="000000"/>
          <w:spacing w:val="-8"/>
          <w:kern w:val="0"/>
          <w:sz w:val="32"/>
          <w:szCs w:val="32"/>
          <w:lang w:val="zh-CN" w:bidi="bo-CN"/>
        </w:rPr>
      </w:pPr>
      <w:r>
        <w:rPr>
          <w:rFonts w:eastAsia="仿宋" w:cs="方正仿宋简体" w:ascii="仿宋" w:hAnsi="仿宋"/>
          <w:color w:val="000000"/>
          <w:spacing w:val="-8"/>
          <w:kern w:val="0"/>
          <w:sz w:val="32"/>
          <w:szCs w:val="32"/>
          <w:lang w:val="zh-CN" w:bidi="bo-CN"/>
        </w:rPr>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第三十一条</w:t>
      </w:r>
      <w:r>
        <w:rPr>
          <w:rFonts w:ascii="仿宋" w:hAnsi="仿宋" w:cs="方正仿宋简体" w:eastAsia="仿宋"/>
          <w:color w:val="000000"/>
          <w:spacing w:val="-8"/>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违反本条例第十二条规定的，由老城区保护机构责令恢复原状，并处以</w:t>
      </w:r>
      <w:r>
        <w:rPr>
          <w:rFonts w:eastAsia="仿宋_GB2312" w:cs="方正仿宋简体" w:hint="eastAsia" w:ascii="仿宋_GB2312" w:hAnsi="仿宋_GB2312"/>
          <w:color w:val="000000"/>
          <w:spacing w:val="-8"/>
          <w:kern w:val="0"/>
          <w:sz w:val="32"/>
          <w:szCs w:val="32"/>
          <w:lang w:val="zh-CN" w:bidi="bo-CN"/>
        </w:rPr>
        <w:t>5000</w:t>
      </w:r>
      <w:r>
        <w:rPr>
          <w:rFonts w:ascii="仿宋_GB2312" w:hAnsi="仿宋_GB2312" w:cs="方正仿宋简体" w:hint="eastAsia" w:eastAsia="仿宋_GB2312"/>
          <w:color w:val="000000"/>
          <w:spacing w:val="-8"/>
          <w:kern w:val="0"/>
          <w:sz w:val="32"/>
          <w:szCs w:val="32"/>
          <w:lang w:val="zh-CN" w:bidi="bo-CN"/>
        </w:rPr>
        <w:t>元以上</w:t>
      </w:r>
      <w:r>
        <w:rPr>
          <w:rFonts w:eastAsia="仿宋_GB2312" w:cs="方正仿宋简体" w:hint="eastAsia" w:ascii="仿宋_GB2312" w:hAnsi="仿宋_GB2312"/>
          <w:color w:val="000000"/>
          <w:spacing w:val="-8"/>
          <w:kern w:val="0"/>
          <w:sz w:val="32"/>
          <w:szCs w:val="32"/>
          <w:lang w:val="zh-CN" w:bidi="bo-CN"/>
        </w:rPr>
        <w:t>2</w:t>
      </w:r>
      <w:r>
        <w:rPr>
          <w:rFonts w:ascii="仿宋_GB2312" w:hAnsi="仿宋_GB2312" w:cs="方正仿宋简体" w:hint="eastAsia" w:eastAsia="仿宋_GB2312"/>
          <w:color w:val="000000"/>
          <w:spacing w:val="-8"/>
          <w:kern w:val="0"/>
          <w:sz w:val="32"/>
          <w:szCs w:val="32"/>
          <w:lang w:val="zh-CN" w:bidi="bo-CN"/>
        </w:rPr>
        <w:t>万元以下的罚款。</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第三十二条</w:t>
      </w:r>
      <w:r>
        <w:rPr>
          <w:rFonts w:ascii="仿宋" w:hAnsi="仿宋" w:cs="方正仿宋简体" w:eastAsia="仿宋"/>
          <w:color w:val="000000"/>
          <w:spacing w:val="-8"/>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违反本条例第十四条第一款规定的，由老城区保护机构责令改正、恢复原状，并对个人处以</w:t>
      </w:r>
      <w:r>
        <w:rPr>
          <w:rFonts w:eastAsia="仿宋_GB2312" w:cs="方正仿宋简体" w:hint="eastAsia" w:ascii="仿宋_GB2312" w:hAnsi="仿宋_GB2312"/>
          <w:color w:val="000000"/>
          <w:spacing w:val="-8"/>
          <w:kern w:val="0"/>
          <w:sz w:val="32"/>
          <w:szCs w:val="32"/>
          <w:lang w:val="zh-CN" w:bidi="bo-CN"/>
        </w:rPr>
        <w:t>500</w:t>
      </w:r>
      <w:r>
        <w:rPr>
          <w:rFonts w:ascii="仿宋_GB2312" w:hAnsi="仿宋_GB2312" w:cs="方正仿宋简体" w:hint="eastAsia" w:eastAsia="仿宋_GB2312"/>
          <w:color w:val="000000"/>
          <w:spacing w:val="-8"/>
          <w:kern w:val="0"/>
          <w:sz w:val="32"/>
          <w:szCs w:val="32"/>
          <w:lang w:val="zh-CN" w:bidi="bo-CN"/>
        </w:rPr>
        <w:t>元以上</w:t>
      </w:r>
      <w:r>
        <w:rPr>
          <w:rFonts w:eastAsia="仿宋_GB2312" w:cs="方正仿宋简体" w:hint="eastAsia" w:ascii="仿宋_GB2312" w:hAnsi="仿宋_GB2312"/>
          <w:color w:val="000000"/>
          <w:spacing w:val="-8"/>
          <w:kern w:val="0"/>
          <w:sz w:val="32"/>
          <w:szCs w:val="32"/>
          <w:lang w:val="zh-CN" w:bidi="bo-CN"/>
        </w:rPr>
        <w:t>1000</w:t>
      </w:r>
      <w:r>
        <w:rPr>
          <w:rFonts w:ascii="仿宋_GB2312" w:hAnsi="仿宋_GB2312" w:cs="方正仿宋简体" w:hint="eastAsia" w:eastAsia="仿宋_GB2312"/>
          <w:color w:val="000000"/>
          <w:spacing w:val="-8"/>
          <w:kern w:val="0"/>
          <w:sz w:val="32"/>
          <w:szCs w:val="32"/>
          <w:lang w:val="zh-CN" w:bidi="bo-CN"/>
        </w:rPr>
        <w:t>元以下的罚款，对单位处以</w:t>
      </w:r>
      <w:r>
        <w:rPr>
          <w:rFonts w:eastAsia="仿宋_GB2312" w:cs="方正仿宋简体" w:hint="eastAsia" w:ascii="仿宋_GB2312" w:hAnsi="仿宋_GB2312"/>
          <w:color w:val="000000"/>
          <w:spacing w:val="-8"/>
          <w:kern w:val="0"/>
          <w:sz w:val="32"/>
          <w:szCs w:val="32"/>
          <w:lang w:val="zh-CN" w:bidi="bo-CN"/>
        </w:rPr>
        <w:t>2000</w:t>
      </w:r>
      <w:r>
        <w:rPr>
          <w:rFonts w:ascii="仿宋_GB2312" w:hAnsi="仿宋_GB2312" w:cs="方正仿宋简体" w:hint="eastAsia" w:eastAsia="仿宋_GB2312"/>
          <w:color w:val="000000"/>
          <w:spacing w:val="-8"/>
          <w:kern w:val="0"/>
          <w:sz w:val="32"/>
          <w:szCs w:val="32"/>
          <w:lang w:val="zh-CN" w:bidi="bo-CN"/>
        </w:rPr>
        <w:t>元以上</w:t>
      </w:r>
      <w:r>
        <w:rPr>
          <w:rFonts w:eastAsia="仿宋_GB2312" w:cs="方正仿宋简体" w:hint="eastAsia" w:ascii="仿宋_GB2312" w:hAnsi="仿宋_GB2312"/>
          <w:color w:val="000000"/>
          <w:spacing w:val="-8"/>
          <w:kern w:val="0"/>
          <w:sz w:val="32"/>
          <w:szCs w:val="32"/>
          <w:lang w:val="zh-CN" w:bidi="bo-CN"/>
        </w:rPr>
        <w:t>1</w:t>
      </w:r>
      <w:r>
        <w:rPr>
          <w:rFonts w:ascii="仿宋_GB2312" w:hAnsi="仿宋_GB2312" w:cs="方正仿宋简体" w:hint="eastAsia" w:eastAsia="仿宋_GB2312"/>
          <w:color w:val="000000"/>
          <w:spacing w:val="-8"/>
          <w:kern w:val="0"/>
          <w:sz w:val="32"/>
          <w:szCs w:val="32"/>
          <w:lang w:val="zh-CN" w:bidi="bo-CN"/>
        </w:rPr>
        <w:t>万元以下的罚款。</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第三十三条</w:t>
      </w:r>
      <w:r>
        <w:rPr>
          <w:rFonts w:ascii="仿宋" w:hAnsi="仿宋" w:cs="方正仿宋简体" w:eastAsia="仿宋"/>
          <w:color w:val="000000"/>
          <w:spacing w:val="-8"/>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违反本条例第十七条规定的，由老城区保护机构责令其恢复原状，并对个人处以</w:t>
      </w:r>
      <w:r>
        <w:rPr>
          <w:rFonts w:eastAsia="仿宋_GB2312" w:cs="方正仿宋简体" w:hint="eastAsia" w:ascii="仿宋_GB2312" w:hAnsi="仿宋_GB2312"/>
          <w:color w:val="000000"/>
          <w:spacing w:val="-8"/>
          <w:kern w:val="0"/>
          <w:sz w:val="32"/>
          <w:szCs w:val="32"/>
          <w:lang w:val="zh-CN" w:bidi="bo-CN"/>
        </w:rPr>
        <w:t>500</w:t>
      </w:r>
      <w:r>
        <w:rPr>
          <w:rFonts w:ascii="仿宋_GB2312" w:hAnsi="仿宋_GB2312" w:cs="方正仿宋简体" w:hint="eastAsia" w:eastAsia="仿宋_GB2312"/>
          <w:color w:val="000000"/>
          <w:spacing w:val="-8"/>
          <w:kern w:val="0"/>
          <w:sz w:val="32"/>
          <w:szCs w:val="32"/>
          <w:lang w:val="zh-CN" w:bidi="bo-CN"/>
        </w:rPr>
        <w:t>元以上</w:t>
      </w:r>
      <w:r>
        <w:rPr>
          <w:rFonts w:eastAsia="仿宋_GB2312" w:cs="方正仿宋简体" w:hint="eastAsia" w:ascii="仿宋_GB2312" w:hAnsi="仿宋_GB2312"/>
          <w:color w:val="000000"/>
          <w:spacing w:val="-8"/>
          <w:kern w:val="0"/>
          <w:sz w:val="32"/>
          <w:szCs w:val="32"/>
          <w:lang w:val="zh-CN" w:bidi="bo-CN"/>
        </w:rPr>
        <w:t>1000</w:t>
      </w:r>
      <w:r>
        <w:rPr>
          <w:rFonts w:ascii="仿宋_GB2312" w:hAnsi="仿宋_GB2312" w:cs="方正仿宋简体" w:hint="eastAsia" w:eastAsia="仿宋_GB2312"/>
          <w:color w:val="000000"/>
          <w:spacing w:val="-8"/>
          <w:kern w:val="0"/>
          <w:sz w:val="32"/>
          <w:szCs w:val="32"/>
          <w:lang w:val="zh-CN" w:bidi="bo-CN"/>
        </w:rPr>
        <w:t>元以下的罚款，对单位处以</w:t>
      </w:r>
      <w:r>
        <w:rPr>
          <w:rFonts w:eastAsia="仿宋_GB2312" w:cs="方正仿宋简体" w:hint="eastAsia" w:ascii="仿宋_GB2312" w:hAnsi="仿宋_GB2312"/>
          <w:color w:val="000000"/>
          <w:spacing w:val="-8"/>
          <w:kern w:val="0"/>
          <w:sz w:val="32"/>
          <w:szCs w:val="32"/>
          <w:lang w:val="zh-CN" w:bidi="bo-CN"/>
        </w:rPr>
        <w:t>5000</w:t>
      </w:r>
      <w:r>
        <w:rPr>
          <w:rFonts w:ascii="仿宋_GB2312" w:hAnsi="仿宋_GB2312" w:cs="方正仿宋简体" w:hint="eastAsia" w:eastAsia="仿宋_GB2312"/>
          <w:color w:val="000000"/>
          <w:spacing w:val="-8"/>
          <w:kern w:val="0"/>
          <w:sz w:val="32"/>
          <w:szCs w:val="32"/>
          <w:lang w:val="zh-CN" w:bidi="bo-CN"/>
        </w:rPr>
        <w:t>元以上</w:t>
      </w:r>
      <w:r>
        <w:rPr>
          <w:rFonts w:eastAsia="仿宋_GB2312" w:cs="方正仿宋简体" w:hint="eastAsia" w:ascii="仿宋_GB2312" w:hAnsi="仿宋_GB2312"/>
          <w:color w:val="000000"/>
          <w:spacing w:val="-8"/>
          <w:kern w:val="0"/>
          <w:sz w:val="32"/>
          <w:szCs w:val="32"/>
          <w:lang w:val="zh-CN" w:bidi="bo-CN"/>
        </w:rPr>
        <w:t>2</w:t>
      </w:r>
      <w:r>
        <w:rPr>
          <w:rFonts w:ascii="仿宋_GB2312" w:hAnsi="仿宋_GB2312" w:cs="方正仿宋简体" w:hint="eastAsia" w:eastAsia="仿宋_GB2312"/>
          <w:color w:val="000000"/>
          <w:spacing w:val="-8"/>
          <w:kern w:val="0"/>
          <w:sz w:val="32"/>
          <w:szCs w:val="32"/>
          <w:lang w:val="zh-CN" w:bidi="bo-CN"/>
        </w:rPr>
        <w:t>万元以下的罚款。</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第三十四条</w:t>
      </w:r>
      <w:r>
        <w:rPr>
          <w:rFonts w:ascii="仿宋" w:hAnsi="仿宋" w:cs="方正仿宋简体" w:eastAsia="仿宋"/>
          <w:color w:val="000000"/>
          <w:spacing w:val="-8"/>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违反本条例第十九条规定的，由老城区保护机构责令恢复原状，并处以</w:t>
      </w:r>
      <w:r>
        <w:rPr>
          <w:rFonts w:eastAsia="仿宋_GB2312" w:cs="方正仿宋简体" w:hint="eastAsia" w:ascii="仿宋_GB2312" w:hAnsi="仿宋_GB2312"/>
          <w:color w:val="000000"/>
          <w:spacing w:val="-8"/>
          <w:kern w:val="0"/>
          <w:sz w:val="32"/>
          <w:szCs w:val="32"/>
          <w:lang w:val="zh-CN" w:bidi="bo-CN"/>
        </w:rPr>
        <w:t>2000</w:t>
      </w:r>
      <w:r>
        <w:rPr>
          <w:rFonts w:ascii="仿宋_GB2312" w:hAnsi="仿宋_GB2312" w:cs="方正仿宋简体" w:hint="eastAsia" w:eastAsia="仿宋_GB2312"/>
          <w:color w:val="000000"/>
          <w:spacing w:val="-8"/>
          <w:kern w:val="0"/>
          <w:sz w:val="32"/>
          <w:szCs w:val="32"/>
          <w:lang w:val="zh-CN" w:bidi="bo-CN"/>
        </w:rPr>
        <w:t>元以上</w:t>
      </w:r>
      <w:r>
        <w:rPr>
          <w:rFonts w:eastAsia="仿宋_GB2312" w:cs="方正仿宋简体" w:hint="eastAsia" w:ascii="仿宋_GB2312" w:hAnsi="仿宋_GB2312"/>
          <w:color w:val="000000"/>
          <w:spacing w:val="-8"/>
          <w:kern w:val="0"/>
          <w:sz w:val="32"/>
          <w:szCs w:val="32"/>
          <w:lang w:val="zh-CN" w:bidi="bo-CN"/>
        </w:rPr>
        <w:t>1</w:t>
      </w:r>
      <w:r>
        <w:rPr>
          <w:rFonts w:ascii="仿宋_GB2312" w:hAnsi="仿宋_GB2312" w:cs="方正仿宋简体" w:hint="eastAsia" w:eastAsia="仿宋_GB2312"/>
          <w:color w:val="000000"/>
          <w:spacing w:val="-8"/>
          <w:kern w:val="0"/>
          <w:sz w:val="32"/>
          <w:szCs w:val="32"/>
          <w:lang w:val="zh-CN" w:bidi="bo-CN"/>
        </w:rPr>
        <w:t>万元以下的罚款。</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第三十五条</w:t>
      </w:r>
      <w:r>
        <w:rPr>
          <w:rFonts w:ascii="仿宋" w:hAnsi="仿宋" w:cs="方正仿宋简体" w:eastAsia="仿宋"/>
          <w:color w:val="000000"/>
          <w:spacing w:val="-8"/>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违反本条例第二十二条第（一）、（二）、（三）、（四）、</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五</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六</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七</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八</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九</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十一</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项规定的，由老城区保护机构给予警告，责令改正，并处以</w:t>
      </w:r>
      <w:r>
        <w:rPr>
          <w:rFonts w:eastAsia="仿宋_GB2312" w:cs="方正仿宋简体" w:hint="eastAsia" w:ascii="仿宋_GB2312" w:hAnsi="仿宋_GB2312"/>
          <w:color w:val="000000"/>
          <w:spacing w:val="-8"/>
          <w:kern w:val="0"/>
          <w:sz w:val="32"/>
          <w:szCs w:val="32"/>
          <w:lang w:val="zh-CN" w:bidi="bo-CN"/>
        </w:rPr>
        <w:t>50</w:t>
      </w:r>
      <w:r>
        <w:rPr>
          <w:rFonts w:ascii="仿宋_GB2312" w:hAnsi="仿宋_GB2312" w:cs="方正仿宋简体" w:hint="eastAsia" w:eastAsia="仿宋_GB2312"/>
          <w:color w:val="000000"/>
          <w:spacing w:val="-8"/>
          <w:kern w:val="0"/>
          <w:sz w:val="32"/>
          <w:szCs w:val="32"/>
          <w:lang w:val="zh-CN" w:bidi="bo-CN"/>
        </w:rPr>
        <w:t>元以上</w:t>
      </w:r>
      <w:r>
        <w:rPr>
          <w:rFonts w:eastAsia="仿宋_GB2312" w:cs="方正仿宋简体" w:hint="eastAsia" w:ascii="仿宋_GB2312" w:hAnsi="仿宋_GB2312"/>
          <w:color w:val="000000"/>
          <w:spacing w:val="-8"/>
          <w:kern w:val="0"/>
          <w:sz w:val="32"/>
          <w:szCs w:val="32"/>
          <w:lang w:val="zh-CN" w:bidi="bo-CN"/>
        </w:rPr>
        <w:t>200</w:t>
      </w:r>
      <w:r>
        <w:rPr>
          <w:rFonts w:ascii="仿宋_GB2312" w:hAnsi="仿宋_GB2312" w:cs="方正仿宋简体" w:hint="eastAsia" w:eastAsia="仿宋_GB2312"/>
          <w:color w:val="000000"/>
          <w:spacing w:val="-8"/>
          <w:kern w:val="0"/>
          <w:sz w:val="32"/>
          <w:szCs w:val="32"/>
          <w:lang w:val="zh-CN" w:bidi="bo-CN"/>
        </w:rPr>
        <w:t>元以下的罚款。</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违反本条例第二十二条第</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十</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项规定的，由公安机关消防机构依照相关法律法规，依法予以处罚。</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第三十六条</w:t>
      </w:r>
      <w:r>
        <w:rPr>
          <w:rFonts w:ascii="仿宋" w:hAnsi="仿宋" w:cs="方正仿宋简体" w:eastAsia="仿宋"/>
          <w:color w:val="000000"/>
          <w:spacing w:val="-8"/>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违反本条例第二十三条规定，情节轻微的，由老城区保护机构给予警告，情节严重的，由有关部门依法予以处罚。</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第三十七条</w:t>
      </w:r>
      <w:r>
        <w:rPr>
          <w:rFonts w:ascii="仿宋" w:hAnsi="仿宋" w:cs="方正仿宋简体" w:eastAsia="仿宋"/>
          <w:color w:val="000000"/>
          <w:spacing w:val="-8"/>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违反本条例第二十七条第一款规定的，由老城区保护机构责令改正。</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第三十八条</w:t>
      </w:r>
      <w:r>
        <w:rPr>
          <w:rFonts w:ascii="仿宋" w:hAnsi="仿宋" w:cs="方正仿宋简体" w:eastAsia="仿宋"/>
          <w:color w:val="000000"/>
          <w:spacing w:val="-8"/>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 xml:space="preserve"> 违反本条例第二十八条第一款规定的，由老城区保护机构责令其恢复原状，对个人可处以</w:t>
      </w:r>
      <w:r>
        <w:rPr>
          <w:rFonts w:eastAsia="仿宋_GB2312" w:cs="方正仿宋简体" w:hint="eastAsia" w:ascii="仿宋_GB2312" w:hAnsi="仿宋_GB2312"/>
          <w:color w:val="000000"/>
          <w:spacing w:val="-8"/>
          <w:kern w:val="0"/>
          <w:sz w:val="32"/>
          <w:szCs w:val="32"/>
          <w:lang w:val="zh-CN" w:bidi="bo-CN"/>
        </w:rPr>
        <w:t>100</w:t>
      </w:r>
      <w:r>
        <w:rPr>
          <w:rFonts w:ascii="仿宋_GB2312" w:hAnsi="仿宋_GB2312" w:cs="方正仿宋简体" w:hint="eastAsia" w:eastAsia="仿宋_GB2312"/>
          <w:color w:val="000000"/>
          <w:spacing w:val="-8"/>
          <w:kern w:val="0"/>
          <w:sz w:val="32"/>
          <w:szCs w:val="32"/>
          <w:lang w:val="zh-CN" w:bidi="bo-CN"/>
        </w:rPr>
        <w:t>元以上</w:t>
      </w:r>
      <w:r>
        <w:rPr>
          <w:rFonts w:eastAsia="仿宋_GB2312" w:cs="方正仿宋简体" w:hint="eastAsia" w:ascii="仿宋_GB2312" w:hAnsi="仿宋_GB2312"/>
          <w:color w:val="000000"/>
          <w:spacing w:val="-8"/>
          <w:kern w:val="0"/>
          <w:sz w:val="32"/>
          <w:szCs w:val="32"/>
          <w:lang w:val="zh-CN" w:bidi="bo-CN"/>
        </w:rPr>
        <w:t>500</w:t>
      </w:r>
      <w:r>
        <w:rPr>
          <w:rFonts w:ascii="仿宋_GB2312" w:hAnsi="仿宋_GB2312" w:cs="方正仿宋简体" w:hint="eastAsia" w:eastAsia="仿宋_GB2312"/>
          <w:color w:val="000000"/>
          <w:spacing w:val="-8"/>
          <w:kern w:val="0"/>
          <w:sz w:val="32"/>
          <w:szCs w:val="32"/>
          <w:lang w:val="zh-CN" w:bidi="bo-CN"/>
        </w:rPr>
        <w:t>元以下的罚款，对单位可处以</w:t>
      </w:r>
      <w:r>
        <w:rPr>
          <w:rFonts w:eastAsia="仿宋_GB2312" w:cs="方正仿宋简体" w:hint="eastAsia" w:ascii="仿宋_GB2312" w:hAnsi="仿宋_GB2312"/>
          <w:color w:val="000000"/>
          <w:spacing w:val="-8"/>
          <w:kern w:val="0"/>
          <w:sz w:val="32"/>
          <w:szCs w:val="32"/>
          <w:lang w:val="zh-CN" w:bidi="bo-CN"/>
        </w:rPr>
        <w:t>500</w:t>
      </w:r>
      <w:r>
        <w:rPr>
          <w:rFonts w:ascii="仿宋_GB2312" w:hAnsi="仿宋_GB2312" w:cs="方正仿宋简体" w:hint="eastAsia" w:eastAsia="仿宋_GB2312"/>
          <w:color w:val="000000"/>
          <w:spacing w:val="-8"/>
          <w:kern w:val="0"/>
          <w:sz w:val="32"/>
          <w:szCs w:val="32"/>
          <w:lang w:val="zh-CN" w:bidi="bo-CN"/>
        </w:rPr>
        <w:t>元以上</w:t>
      </w:r>
      <w:r>
        <w:rPr>
          <w:rFonts w:eastAsia="仿宋_GB2312" w:cs="方正仿宋简体" w:hint="eastAsia" w:ascii="仿宋_GB2312" w:hAnsi="仿宋_GB2312"/>
          <w:color w:val="000000"/>
          <w:spacing w:val="-8"/>
          <w:kern w:val="0"/>
          <w:sz w:val="32"/>
          <w:szCs w:val="32"/>
          <w:lang w:val="zh-CN" w:bidi="bo-CN"/>
        </w:rPr>
        <w:t>2000</w:t>
      </w:r>
      <w:r>
        <w:rPr>
          <w:rFonts w:ascii="仿宋_GB2312" w:hAnsi="仿宋_GB2312" w:cs="方正仿宋简体" w:hint="eastAsia" w:eastAsia="仿宋_GB2312"/>
          <w:color w:val="000000"/>
          <w:spacing w:val="-8"/>
          <w:kern w:val="0"/>
          <w:sz w:val="32"/>
          <w:szCs w:val="32"/>
          <w:lang w:val="zh-CN" w:bidi="bo-CN"/>
        </w:rPr>
        <w:t>元以下的罚款。</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第三十九条</w:t>
      </w:r>
      <w:r>
        <w:rPr>
          <w:rFonts w:ascii="仿宋" w:hAnsi="仿宋" w:cs="方正仿宋简体" w:eastAsia="仿宋"/>
          <w:color w:val="000000"/>
          <w:spacing w:val="-8"/>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 xml:space="preserve">违反文物保护法律法规的，由文物保护主管部门依法予以处罚。 </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 xml:space="preserve">第四十条 </w:t>
      </w:r>
      <w:r>
        <w:rPr>
          <w:rFonts w:ascii="仿宋_GB2312" w:hAnsi="仿宋_GB2312" w:cs="方正仿宋简体" w:hint="eastAsia" w:eastAsia="仿宋_GB2312"/>
          <w:color w:val="000000"/>
          <w:spacing w:val="-8"/>
          <w:kern w:val="0"/>
          <w:sz w:val="32"/>
          <w:szCs w:val="32"/>
          <w:lang w:val="zh-CN" w:bidi="bo-CN"/>
        </w:rPr>
        <w:t xml:space="preserve"> 老城区保护机构工作人员在工作中玩忽职守、徇私舞弊、滥用职权的，依法给予行政处分；涉嫌犯罪的，移交司法机关处理。</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 xml:space="preserve">第四十一条 </w:t>
      </w:r>
      <w:r>
        <w:rPr>
          <w:rFonts w:ascii="仿宋" w:hAnsi="仿宋" w:cs="方正仿宋简体" w:eastAsia="仿宋"/>
          <w:color w:val="000000"/>
          <w:spacing w:val="-8"/>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当事人对依照本条例作出的行政处罚不服的，可依法申请行政复议或提起行政诉讼。逾期不申请复议、不提起诉讼，又不履行处罚决定的，由作出处罚决定的行政机关申请人民法院强制执行或者依法强制执行。</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eastAsia="仿宋_GB2312" w:cs="方正仿宋简体" w:hint="eastAsia" w:ascii="仿宋_GB2312" w:hAnsi="仿宋_GB2312"/>
          <w:color w:val="000000"/>
          <w:spacing w:val="-8"/>
          <w:kern w:val="0"/>
          <w:sz w:val="32"/>
          <w:szCs w:val="32"/>
          <w:lang w:val="zh-CN" w:bidi="bo-CN"/>
        </w:rPr>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center"/>
        <w:rPr>
          <w:rFonts w:ascii="黑体" w:hAnsi="黑体" w:eastAsia="黑体" w:cs="方正仿宋简体"/>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第六章</w:t>
      </w:r>
      <w:r>
        <w:rPr>
          <w:rFonts w:ascii="黑体" w:hAnsi="黑体" w:cs="方正仿宋简体" w:hint="eastAsia" w:eastAsia="黑体"/>
          <w:color w:val="000000"/>
          <w:spacing w:val="-8"/>
          <w:kern w:val="0"/>
          <w:sz w:val="32"/>
          <w:szCs w:val="32"/>
          <w:lang w:bidi="bo-CN"/>
        </w:rPr>
        <w:t xml:space="preserve">   </w:t>
      </w:r>
      <w:r>
        <w:rPr>
          <w:rFonts w:ascii="黑体" w:hAnsi="黑体" w:cs="方正仿宋简体" w:hint="eastAsia" w:eastAsia="黑体"/>
          <w:color w:val="000000"/>
          <w:spacing w:val="-8"/>
          <w:kern w:val="0"/>
          <w:sz w:val="32"/>
          <w:szCs w:val="32"/>
          <w:lang w:val="zh-CN" w:bidi="bo-CN"/>
        </w:rPr>
        <w:t>附则</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 w:hAnsi="仿宋" w:eastAsia="仿宋" w:cs="方正仿宋简体"/>
          <w:color w:val="000000"/>
          <w:spacing w:val="-8"/>
          <w:kern w:val="0"/>
          <w:sz w:val="32"/>
          <w:szCs w:val="32"/>
          <w:lang w:val="zh-CN" w:bidi="bo-CN"/>
        </w:rPr>
      </w:pPr>
      <w:r>
        <w:rPr>
          <w:rFonts w:eastAsia="仿宋" w:cs="方正仿宋简体" w:ascii="仿宋" w:hAnsi="仿宋"/>
          <w:color w:val="000000"/>
          <w:spacing w:val="-8"/>
          <w:kern w:val="0"/>
          <w:sz w:val="32"/>
          <w:szCs w:val="32"/>
          <w:lang w:val="zh-CN" w:bidi="bo-CN"/>
        </w:rPr>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 w:hAnsi="仿宋" w:eastAsia="仿宋" w:cs="方正仿宋简体"/>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第四十二条</w:t>
      </w:r>
      <w:r>
        <w:rPr>
          <w:rFonts w:ascii="仿宋" w:hAnsi="仿宋" w:cs="方正仿宋简体" w:eastAsia="仿宋"/>
          <w:color w:val="000000"/>
          <w:spacing w:val="-8"/>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本条例自</w:t>
      </w:r>
      <w:r>
        <w:rPr>
          <w:rFonts w:eastAsia="仿宋_GB2312" w:cs="方正仿宋简体" w:hint="eastAsia" w:ascii="仿宋_GB2312" w:hAnsi="仿宋_GB2312"/>
          <w:color w:val="000000"/>
          <w:spacing w:val="-8"/>
          <w:kern w:val="0"/>
          <w:sz w:val="32"/>
          <w:szCs w:val="32"/>
          <w:lang w:val="zh-CN" w:bidi="bo-CN"/>
        </w:rPr>
        <w:t>2013</w:t>
      </w:r>
      <w:r>
        <w:rPr>
          <w:rFonts w:ascii="仿宋_GB2312" w:hAnsi="仿宋_GB2312" w:cs="方正仿宋简体" w:hint="eastAsia" w:eastAsia="仿宋_GB2312"/>
          <w:color w:val="000000"/>
          <w:spacing w:val="-8"/>
          <w:kern w:val="0"/>
          <w:sz w:val="32"/>
          <w:szCs w:val="32"/>
          <w:lang w:val="zh-CN" w:bidi="bo-CN"/>
        </w:rPr>
        <w:t>年</w:t>
      </w:r>
      <w:r>
        <w:rPr>
          <w:rFonts w:eastAsia="仿宋_GB2312" w:cs="方正仿宋简体" w:hint="eastAsia" w:ascii="仿宋_GB2312" w:hAnsi="仿宋_GB2312"/>
          <w:color w:val="000000"/>
          <w:spacing w:val="-8"/>
          <w:kern w:val="0"/>
          <w:sz w:val="32"/>
          <w:szCs w:val="32"/>
          <w:lang w:val="zh-CN" w:bidi="bo-CN"/>
        </w:rPr>
        <w:t>10</w:t>
      </w:r>
      <w:r>
        <w:rPr>
          <w:rFonts w:ascii="仿宋_GB2312" w:hAnsi="仿宋_GB2312" w:cs="方正仿宋简体" w:hint="eastAsia" w:eastAsia="仿宋_GB2312"/>
          <w:color w:val="000000"/>
          <w:spacing w:val="-8"/>
          <w:kern w:val="0"/>
          <w:sz w:val="32"/>
          <w:szCs w:val="32"/>
          <w:lang w:val="zh-CN" w:bidi="bo-CN"/>
        </w:rPr>
        <w:t>月</w:t>
      </w:r>
      <w:r>
        <w:rPr>
          <w:rFonts w:eastAsia="仿宋_GB2312" w:cs="方正仿宋简体" w:hint="eastAsia" w:ascii="仿宋_GB2312" w:hAnsi="仿宋_GB2312"/>
          <w:color w:val="000000"/>
          <w:spacing w:val="-8"/>
          <w:kern w:val="0"/>
          <w:sz w:val="32"/>
          <w:szCs w:val="32"/>
          <w:lang w:val="zh-CN" w:bidi="bo-CN"/>
        </w:rPr>
        <w:t>1</w:t>
      </w:r>
      <w:r>
        <w:rPr>
          <w:rFonts w:ascii="仿宋_GB2312" w:hAnsi="仿宋_GB2312" w:cs="方正仿宋简体" w:hint="eastAsia" w:eastAsia="仿宋_GB2312"/>
          <w:color w:val="000000"/>
          <w:spacing w:val="-8"/>
          <w:kern w:val="0"/>
          <w:sz w:val="32"/>
          <w:szCs w:val="32"/>
          <w:lang w:val="zh-CN" w:bidi="bo-CN"/>
        </w:rPr>
        <w:t>日起施行。</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 w:hAnsi="仿宋" w:eastAsia="仿宋" w:cs="方正仿宋简体"/>
          <w:color w:val="000000"/>
          <w:spacing w:val="-8"/>
          <w:kern w:val="0"/>
          <w:sz w:val="32"/>
          <w:szCs w:val="32"/>
          <w:lang w:val="zh-CN" w:bidi="bo-CN"/>
        </w:rPr>
      </w:pPr>
      <w:r>
        <w:rPr>
          <w:rFonts w:eastAsia="仿宋" w:cs="方正仿宋简体" w:ascii="仿宋" w:hAnsi="仿宋"/>
          <w:color w:val="000000"/>
          <w:spacing w:val="-8"/>
          <w:kern w:val="0"/>
          <w:sz w:val="32"/>
          <w:szCs w:val="32"/>
          <w:lang w:val="zh-CN" w:bidi="bo-CN"/>
        </w:rPr>
      </w:r>
    </w:p>
    <w:p>
      <w:pPr>
        <w:pStyle w:val="Normal"/>
        <w:keepNext w:val="false"/>
        <w:keepLines w:val="false"/>
        <w:pageBreakBefore w:val="false"/>
        <w:widowControl w:val="false"/>
        <w:kinsoku w:val="true"/>
        <w:overflowPunct w:val="true"/>
        <w:bidi w:val="0"/>
        <w:snapToGrid w:val="true"/>
        <w:spacing w:lineRule="exact" w:line="576" w:before="0" w:after="0"/>
        <w:ind w:firstLineChars="0" w:firstLine="0" w:startChars="0" w:start="0" w:endChars="0" w:end="0"/>
        <w:rPr>
          <w:rFonts w:ascii="仿宋" w:hAnsi="仿宋" w:eastAsia="仿宋" w:cs="方正仿宋简体"/>
          <w:color w:val="000000"/>
          <w:spacing w:val="-8"/>
          <w:kern w:val="0"/>
          <w:sz w:val="32"/>
          <w:szCs w:val="32"/>
          <w:lang w:val="zh-CN" w:bidi="bo-CN"/>
        </w:rPr>
      </w:pPr>
      <w:r>
        <w:rPr>
          <w:rFonts w:eastAsia="仿宋" w:cs="方正仿宋简体" w:ascii="仿宋" w:hAnsi="仿宋"/>
          <w:color w:val="000000"/>
          <w:spacing w:val="-8"/>
          <w:kern w:val="0"/>
          <w:sz w:val="32"/>
          <w:szCs w:val="32"/>
          <w:lang w:val="zh-CN" w:bidi="bo-CN"/>
        </w:rPr>
      </w:r>
    </w:p>
    <w:sectPr>
      <w:footerReference w:type="even" r:id="rId2"/>
      <w:footerReference w:type="default" r:id="rId3"/>
      <w:type w:val="nextPage"/>
      <w:pgSz w:w="11906" w:h="16838"/>
      <w:pgMar w:left="1588" w:right="1474" w:gutter="0" w:header="0" w:top="2098" w:footer="1389" w:bottom="1985"/>
      <w:pgNumType w:fmt="decimal"/>
      <w:formProt w:val="false"/>
      <w:textDirection w:val="lrTb"/>
      <w:docGrid w:type="lines" w:linePitch="28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黑体简体">
    <w:charset w:val="86"/>
    <w:family w:val="auto"/>
    <w:pitch w:val="default"/>
  </w:font>
  <w:font w:name="宋体">
    <w:charset w:val="86"/>
    <w:family w:val="auto"/>
    <w:pitch w:val="default"/>
  </w:font>
  <w:font w:name="方正仿宋简体">
    <w:charset w:val="86"/>
    <w:family w:val="auto"/>
    <w:pitch w:val="default"/>
  </w:font>
  <w:font w:name="楷体_GB2312">
    <w:altName w:val="楷体"/>
    <w:charset w:val="86"/>
    <w:family w:val="auto"/>
    <w:pitch w:val="default"/>
  </w:font>
  <w:font w:name="楷体">
    <w:charset w:val="86"/>
    <w:family w:val="modern"/>
    <w:pitch w:val="default"/>
  </w:font>
  <w:font w:name="黑体">
    <w:charset w:val="86"/>
    <w:family w:val="auto"/>
    <w:pitch w:val="default"/>
  </w:font>
  <w:font w:name="仿宋_GB2312">
    <w:charset w:val="86"/>
    <w:family w:val="auto"/>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ew1"/>
      <w:rPr/>
    </w:pPr>
    <w:r>
      <w:rPr>
        <w:rFonts w:cs="宋体" w:hint="eastAsia" w:ascii="宋体" w:hAnsi="宋体"/>
        <w:sz w:val="24"/>
        <w:szCs w:val="24"/>
      </w:rPr>
      <w:t>—</w:t>
    </w: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8</w:t>
    </w:r>
    <w:r>
      <w:rPr>
        <w:rFonts w:cs="宋体" w:ascii="宋体" w:hAnsi="宋体"/>
        <w:sz w:val="24"/>
        <w:szCs w:val="24"/>
      </w:rPr>
      <w:fldChar w:fldCharType="end"/>
    </w:r>
    <w:r>
      <w:rPr>
        <w:rFonts w:cs="宋体" w:hint="eastAsia" w:ascii="宋体" w:hAnsi="宋体"/>
        <w:sz w:val="24"/>
        <w:szCs w:val="24"/>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ew1"/>
      <w:jc w:val="end"/>
      <w:rPr/>
    </w:pPr>
    <w:r>
      <w:rPr>
        <w:rFonts w:cs="宋体" w:hint="eastAsia" w:ascii="宋体" w:hAnsi="宋体"/>
        <w:sz w:val="24"/>
        <w:szCs w:val="24"/>
      </w:rPr>
      <w:t>—</w:t>
    </w: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9</w:t>
    </w:r>
    <w:r>
      <w:rPr>
        <w:rFonts w:cs="宋体" w:ascii="宋体" w:hAnsi="宋体"/>
        <w:sz w:val="24"/>
        <w:szCs w:val="24"/>
      </w:rPr>
      <w:fldChar w:fldCharType="end"/>
    </w:r>
    <w:r>
      <w:rPr>
        <w:rFonts w:cs="宋体" w:hint="eastAsia" w:ascii="宋体" w:hAnsi="宋体"/>
        <w:sz w:val="24"/>
        <w:szCs w:val="24"/>
      </w:rPr>
      <w:t>—</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ew">
    <w:name w:val="正文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1">
    <w:name w:val="页脚 New"/>
    <w:basedOn w:val="New"/>
    <w:qFormat/>
    <w:pPr>
      <w:tabs>
        <w:tab w:val="clear" w:pos="420"/>
        <w:tab w:val="center" w:pos="4153" w:leader="none"/>
        <w:tab w:val="right" w:pos="8306" w:leader="none"/>
      </w:tabs>
      <w:snapToGrid w:val="false"/>
      <w:jc w:val="start"/>
    </w:pPr>
    <w:rPr>
      <w:sz w:val="18"/>
      <w:szCs w:val="18"/>
    </w:rPr>
  </w:style>
  <w:style w:type="paragraph" w:styleId="Style15">
    <w:name w:val="大标题"/>
    <w:basedOn w:val="New"/>
    <w:qFormat/>
    <w:pPr>
      <w:autoSpaceDE w:val="false"/>
      <w:spacing w:lineRule="atLeast" w:line="420"/>
      <w:jc w:val="center"/>
      <w:textAlignment w:val="center"/>
    </w:pPr>
    <w:rPr>
      <w:rFonts w:ascii="方正黑体简体" w:hAnsi="方正黑体简体" w:eastAsia="方正黑体简体" w:cs="方正黑体简体"/>
      <w:color w:val="000000"/>
      <w:spacing w:val="2"/>
      <w:kern w:val="0"/>
      <w:sz w:val="31"/>
      <w:szCs w:val="31"/>
      <w:lang w:val="zh-CN" w:bidi="bo-CN"/>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2017-03-14T15:34:43Z</dcterms:created>
  <dc:creator>Administrator</dc:creator>
  <dc:description/>
  <dc:language>en-US</dc:language>
  <cp:lastModifiedBy>LENOVO001</cp:lastModifiedBy>
  <dcterms:modified xsi:type="dcterms:W3CDTF">2017-03-14T16:05:21Z</dcterms:modified>
  <cp:revision>1</cp:revision>
  <dc:subject/>
  <dc:title>拉萨市老城区保护条例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