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autoSpaceDE w:val="false"/>
        <w:spacing w:lineRule="exact" w:line="600"/>
        <w:jc w:val="start"/>
        <w:textAlignment w:val="center"/>
        <w:rPr>
          <w:rFonts w:ascii="宋体;SimSun" w:hAnsi="宋体;SimSun" w:cs="方正黑体简体"/>
          <w:color w:val="000000"/>
          <w:spacing w:val="2"/>
          <w:kern w:val="0"/>
          <w:sz w:val="44"/>
          <w:szCs w:val="44"/>
          <w:lang w:val="zh-CN" w:bidi="bo-CN"/>
        </w:rPr>
      </w:pPr>
      <w:r>
        <w:rPr>
          <w:rFonts w:cs="方正黑体简体" w:ascii="宋体;SimSun" w:hAnsi="宋体;SimSun"/>
          <w:color w:val="000000"/>
          <w:spacing w:val="2"/>
          <w:kern w:val="0"/>
          <w:sz w:val="44"/>
          <w:szCs w:val="44"/>
          <w:lang w:val="zh-CN" w:bidi="bo-CN"/>
        </w:rPr>
      </w:r>
    </w:p>
    <w:p>
      <w:pPr>
        <w:pStyle w:val="Style17"/>
        <w:rPr>
          <w:rFonts w:ascii="宋体;SimSun" w:hAnsi="宋体;SimSun" w:eastAsia="宋体;SimSun" w:cs="宋体;SimSun"/>
          <w:sz w:val="44"/>
          <w:szCs w:val="44"/>
        </w:rPr>
      </w:pPr>
      <w:r>
        <w:rPr>
          <w:rFonts w:ascii="宋体;SimSun" w:hAnsi="宋体;SimSun" w:cs="宋体;SimSun" w:hint="eastAsia" w:eastAsia="宋体;SimSun"/>
          <w:sz w:val="44"/>
          <w:szCs w:val="44"/>
        </w:rPr>
        <w:t>拉萨市城市绿化条例</w:t>
      </w:r>
    </w:p>
    <w:p>
      <w:pPr>
        <w:pStyle w:val="Normal"/>
        <w:autoSpaceDE w:val="false"/>
        <w:spacing w:lineRule="atLeast" w:line="420"/>
        <w:jc w:val="center"/>
        <w:textAlignment w:val="center"/>
        <w:rPr>
          <w:rFonts w:ascii="方正黑体简体" w:hAnsi="方正黑体简体" w:eastAsia="方正黑体简体" w:cs="方正黑体简体" w:hint="eastAsia"/>
          <w:color w:val="000000"/>
          <w:spacing w:val="2"/>
          <w:kern w:val="0"/>
          <w:sz w:val="31"/>
          <w:szCs w:val="31"/>
          <w:lang w:val="zh-CN" w:bidi="bo-CN"/>
        </w:rPr>
      </w:pPr>
      <w:r>
        <w:rPr>
          <w:rFonts w:eastAsia="方正黑体简体" w:cs="方正黑体简体" w:hint="eastAsia" w:ascii="方正黑体简体" w:hAnsi="方正黑体简体"/>
          <w:color w:val="000000"/>
          <w:spacing w:val="2"/>
          <w:kern w:val="0"/>
          <w:sz w:val="31"/>
          <w:szCs w:val="31"/>
          <w:lang w:val="zh-CN" w:bidi="bo-CN"/>
        </w:rPr>
      </w:r>
    </w:p>
    <w:p>
      <w:pPr>
        <w:pStyle w:val="Normal"/>
        <w:autoSpaceDE w:val="false"/>
        <w:spacing w:lineRule="atLeast" w:line="420"/>
        <w:jc w:val="center"/>
        <w:textAlignment w:val="center"/>
        <w:rPr>
          <w:rFonts w:ascii="方正黑体简体" w:hAnsi="方正黑体简体" w:eastAsia="方正黑体简体" w:cs="方正黑体简体" w:hint="eastAsia"/>
          <w:color w:val="000000"/>
          <w:spacing w:val="2"/>
          <w:kern w:val="0"/>
          <w:sz w:val="31"/>
          <w:szCs w:val="31"/>
          <w:lang w:val="zh-CN" w:bidi="bo-CN"/>
        </w:rPr>
      </w:pPr>
      <w:r>
        <w:rPr>
          <w:rFonts w:eastAsia="方正黑体简体" w:cs="方正黑体简体" w:hint="eastAsia" w:ascii="方正黑体简体" w:hAnsi="方正黑体简体"/>
          <w:color w:val="000000"/>
          <w:spacing w:val="2"/>
          <w:kern w:val="0"/>
          <w:sz w:val="31"/>
          <w:szCs w:val="31"/>
          <w:lang w:val="zh-CN" w:bidi="bo-CN"/>
        </w:rPr>
      </w:r>
    </w:p>
    <w:p>
      <w:pPr>
        <w:pStyle w:val="Normal"/>
        <w:autoSpaceDE w:val="false"/>
        <w:spacing w:lineRule="exact" w:line="600"/>
        <w:jc w:val="center"/>
        <w:textAlignment w:val="center"/>
        <w:rPr/>
      </w:pPr>
      <w:r>
        <w:rPr>
          <w:rFonts w:ascii="楷体" w:hAnsi="楷体" w:cs="方正楷体简体" w:hint="eastAsia" w:eastAsia="楷体"/>
          <w:color w:val="000000"/>
          <w:kern w:val="0"/>
          <w:sz w:val="32"/>
          <w:szCs w:val="32"/>
          <w:lang w:val="zh-CN" w:bidi="bo-CN"/>
        </w:rPr>
        <w:t>（</w:t>
      </w:r>
      <w:r>
        <w:rPr>
          <w:rFonts w:eastAsia="楷体" w:cs="方正楷体简体" w:ascii="楷体" w:hAnsi="楷体"/>
          <w:color w:val="000000"/>
          <w:kern w:val="0"/>
          <w:sz w:val="32"/>
          <w:szCs w:val="32"/>
          <w:lang w:val="zh-CN" w:bidi="bo-CN"/>
        </w:rPr>
        <w:t>2014</w:t>
      </w:r>
      <w:r>
        <w:rPr>
          <w:rFonts w:ascii="楷体" w:hAnsi="楷体" w:cs="方正楷体简体" w:hint="eastAsia" w:eastAsia="楷体"/>
          <w:color w:val="000000"/>
          <w:kern w:val="0"/>
          <w:sz w:val="32"/>
          <w:szCs w:val="32"/>
          <w:lang w:val="zh-CN" w:bidi="bo-CN"/>
        </w:rPr>
        <w:t>年</w:t>
      </w:r>
      <w:r>
        <w:rPr>
          <w:rFonts w:eastAsia="楷体" w:cs="方正楷体简体" w:ascii="楷体" w:hAnsi="楷体"/>
          <w:color w:val="000000"/>
          <w:kern w:val="0"/>
          <w:sz w:val="32"/>
          <w:szCs w:val="32"/>
          <w:lang w:val="zh-CN" w:bidi="bo-CN"/>
        </w:rPr>
        <w:t>2</w:t>
      </w:r>
      <w:r>
        <w:rPr>
          <w:rFonts w:ascii="楷体" w:hAnsi="楷体" w:cs="方正楷体简体" w:hint="eastAsia" w:eastAsia="楷体"/>
          <w:color w:val="000000"/>
          <w:kern w:val="0"/>
          <w:sz w:val="32"/>
          <w:szCs w:val="32"/>
          <w:lang w:val="zh-CN" w:bidi="bo-CN"/>
        </w:rPr>
        <w:t>月</w:t>
      </w:r>
      <w:r>
        <w:rPr>
          <w:rFonts w:eastAsia="楷体" w:cs="方正楷体简体" w:ascii="楷体" w:hAnsi="楷体"/>
          <w:color w:val="000000"/>
          <w:kern w:val="0"/>
          <w:sz w:val="32"/>
          <w:szCs w:val="32"/>
          <w:lang w:val="zh-CN" w:bidi="bo-CN"/>
        </w:rPr>
        <w:t>17</w:t>
      </w:r>
      <w:r>
        <w:rPr>
          <w:rFonts w:ascii="楷体" w:hAnsi="楷体" w:cs="方正楷体简体" w:hint="eastAsia" w:eastAsia="楷体"/>
          <w:color w:val="000000"/>
          <w:kern w:val="0"/>
          <w:sz w:val="32"/>
          <w:szCs w:val="32"/>
          <w:lang w:val="zh-CN" w:bidi="bo-CN"/>
        </w:rPr>
        <w:t>日拉萨市第十届人民代表大会常务委员会第十四次会议通过，</w:t>
      </w:r>
      <w:r>
        <w:rPr>
          <w:rFonts w:eastAsia="楷体" w:cs="方正楷体简体" w:ascii="楷体" w:hAnsi="楷体"/>
          <w:color w:val="000000"/>
          <w:kern w:val="0"/>
          <w:sz w:val="32"/>
          <w:szCs w:val="32"/>
          <w:lang w:val="zh-CN" w:bidi="bo-CN"/>
        </w:rPr>
        <w:t>2014</w:t>
      </w:r>
      <w:r>
        <w:rPr>
          <w:rFonts w:ascii="楷体" w:hAnsi="楷体" w:cs="方正楷体简体" w:hint="eastAsia" w:eastAsia="楷体"/>
          <w:color w:val="000000"/>
          <w:kern w:val="0"/>
          <w:sz w:val="32"/>
          <w:szCs w:val="32"/>
          <w:lang w:val="zh-CN" w:bidi="bo-CN"/>
        </w:rPr>
        <w:t>年</w:t>
      </w:r>
      <w:r>
        <w:rPr>
          <w:rFonts w:eastAsia="楷体" w:cs="方正楷体简体" w:ascii="楷体" w:hAnsi="楷体"/>
          <w:color w:val="000000"/>
          <w:kern w:val="0"/>
          <w:sz w:val="32"/>
          <w:szCs w:val="32"/>
          <w:lang w:val="zh-CN" w:bidi="bo-CN"/>
        </w:rPr>
        <w:t>3</w:t>
      </w:r>
      <w:r>
        <w:rPr>
          <w:rFonts w:ascii="楷体" w:hAnsi="楷体" w:cs="方正楷体简体" w:hint="eastAsia" w:eastAsia="楷体"/>
          <w:color w:val="000000"/>
          <w:kern w:val="0"/>
          <w:sz w:val="32"/>
          <w:szCs w:val="32"/>
          <w:lang w:val="zh-CN" w:bidi="bo-CN"/>
        </w:rPr>
        <w:t>月</w:t>
      </w:r>
      <w:r>
        <w:rPr>
          <w:rFonts w:eastAsia="楷体" w:cs="方正楷体简体" w:ascii="楷体" w:hAnsi="楷体"/>
          <w:color w:val="000000"/>
          <w:kern w:val="0"/>
          <w:sz w:val="32"/>
          <w:szCs w:val="32"/>
          <w:lang w:val="zh-CN" w:bidi="bo-CN"/>
        </w:rPr>
        <w:t>31</w:t>
      </w:r>
      <w:r>
        <w:rPr>
          <w:rFonts w:ascii="楷体" w:hAnsi="楷体" w:cs="方正楷体简体" w:hint="eastAsia" w:eastAsia="楷体"/>
          <w:color w:val="000000"/>
          <w:kern w:val="0"/>
          <w:sz w:val="32"/>
          <w:szCs w:val="32"/>
          <w:lang w:val="zh-CN" w:bidi="bo-CN"/>
        </w:rPr>
        <w:t>日西藏自治区第十届人民代表大会常务委员会第九次会议批准。）</w:t>
      </w:r>
    </w:p>
    <w:p>
      <w:pPr>
        <w:pStyle w:val="Normal"/>
        <w:autoSpaceDE w:val="false"/>
        <w:spacing w:lineRule="exact" w:line="600"/>
        <w:jc w:val="center"/>
        <w:textAlignment w:val="center"/>
        <w:rPr>
          <w:rFonts w:ascii="楷体" w:hAnsi="楷体" w:eastAsia="楷体" w:cs="方正楷体简体" w:hint="eastAsia"/>
          <w:color w:val="000000"/>
          <w:kern w:val="0"/>
          <w:sz w:val="32"/>
          <w:szCs w:val="32"/>
          <w:lang w:val="zh-CN" w:bidi="bo-CN"/>
        </w:rPr>
      </w:pPr>
      <w:r>
        <w:rPr>
          <w:rFonts w:eastAsia="楷体" w:cs="方正楷体简体" w:hint="eastAsia" w:ascii="楷体" w:hAnsi="楷体"/>
          <w:color w:val="000000"/>
          <w:kern w:val="0"/>
          <w:sz w:val="32"/>
          <w:szCs w:val="32"/>
          <w:lang w:val="zh-CN" w:bidi="bo-CN"/>
        </w:rPr>
      </w:r>
    </w:p>
    <w:p>
      <w:pPr>
        <w:pStyle w:val="Normal"/>
        <w:autoSpaceDE w:val="false"/>
        <w:spacing w:lineRule="exact" w:line="600"/>
        <w:jc w:val="center"/>
        <w:textAlignment w:val="center"/>
        <w:rPr>
          <w:rFonts w:ascii="楷体" w:hAnsi="楷体" w:eastAsia="楷体" w:cs="方正楷体简体" w:hint="eastAsia"/>
          <w:color w:val="000000"/>
          <w:kern w:val="0"/>
          <w:sz w:val="32"/>
          <w:szCs w:val="32"/>
          <w:lang w:val="zh-CN" w:bidi="bo-CN"/>
        </w:rPr>
      </w:pPr>
      <w:r>
        <w:rPr>
          <w:rFonts w:ascii="楷体" w:hAnsi="楷体" w:cs="方正楷体简体" w:hint="eastAsia" w:eastAsia="楷体"/>
          <w:color w:val="000000"/>
          <w:kern w:val="0"/>
          <w:sz w:val="32"/>
          <w:szCs w:val="32"/>
          <w:lang w:val="zh-CN" w:bidi="bo-CN"/>
        </w:rPr>
        <w:t>目  录</w:t>
      </w:r>
    </w:p>
    <w:p>
      <w:pPr>
        <w:pStyle w:val="Normal"/>
        <w:autoSpaceDE w:val="false"/>
        <w:spacing w:lineRule="exact" w:line="600"/>
        <w:ind w:firstLineChars="150" w:startChars="0" w:start="0" w:endChars="0" w:end="0"/>
        <w:textAlignment w:val="center"/>
        <w:rPr>
          <w:rFonts w:ascii="楷体" w:hAnsi="楷体" w:eastAsia="楷体" w:cs="方正黑体简体"/>
          <w:color w:val="000000"/>
          <w:kern w:val="0"/>
          <w:sz w:val="32"/>
          <w:szCs w:val="32"/>
          <w:lang w:val="zh-CN" w:bidi="bo-CN"/>
        </w:rPr>
      </w:pPr>
      <w:r>
        <w:rPr>
          <w:rFonts w:ascii="楷体" w:hAnsi="楷体" w:cs="方正黑体简体" w:hint="eastAsia" w:eastAsia="楷体"/>
          <w:color w:val="000000"/>
          <w:kern w:val="0"/>
          <w:sz w:val="32"/>
          <w:szCs w:val="32"/>
          <w:lang w:val="zh-CN" w:bidi="bo-CN"/>
        </w:rPr>
        <w:t>第一章　总则</w:t>
      </w:r>
    </w:p>
    <w:p>
      <w:pPr>
        <w:pStyle w:val="Normal"/>
        <w:autoSpaceDE w:val="false"/>
        <w:spacing w:lineRule="exact" w:line="600"/>
        <w:ind w:firstLine="471" w:end="0"/>
        <w:textAlignment w:val="center"/>
        <w:rPr>
          <w:rFonts w:ascii="楷体" w:hAnsi="楷体" w:eastAsia="楷体" w:cs="方正仿宋简体"/>
          <w:color w:val="000000"/>
          <w:spacing w:val="-8"/>
          <w:kern w:val="0"/>
          <w:sz w:val="32"/>
          <w:szCs w:val="32"/>
          <w:lang w:val="zh-CN" w:bidi="bo-CN"/>
        </w:rPr>
      </w:pPr>
      <w:r>
        <w:rPr>
          <w:rFonts w:ascii="楷体" w:hAnsi="楷体" w:cs="方正仿宋简体" w:hint="eastAsia" w:eastAsia="楷体"/>
          <w:color w:val="000000"/>
          <w:spacing w:val="-8"/>
          <w:kern w:val="0"/>
          <w:sz w:val="32"/>
          <w:szCs w:val="32"/>
          <w:lang w:val="zh-CN" w:bidi="bo-CN"/>
        </w:rPr>
        <w:t>第二章</w:t>
      </w:r>
      <w:r>
        <w:rPr>
          <w:rFonts w:ascii="楷体" w:hAnsi="楷体" w:cs="方正仿宋简体" w:eastAsia="楷体"/>
          <w:color w:val="000000"/>
          <w:spacing w:val="-8"/>
          <w:kern w:val="0"/>
          <w:sz w:val="32"/>
          <w:szCs w:val="32"/>
          <w:lang w:val="zh-CN" w:bidi="bo-CN"/>
        </w:rPr>
        <w:t xml:space="preserve">  </w:t>
      </w:r>
      <w:r>
        <w:rPr>
          <w:rFonts w:ascii="楷体" w:hAnsi="楷体" w:cs="方正仿宋简体" w:hint="eastAsia" w:eastAsia="楷体"/>
          <w:color w:val="000000"/>
          <w:spacing w:val="-8"/>
          <w:kern w:val="0"/>
          <w:sz w:val="32"/>
          <w:szCs w:val="32"/>
          <w:lang w:val="zh-CN" w:bidi="bo-CN"/>
        </w:rPr>
        <w:t>规划和建设</w:t>
      </w:r>
    </w:p>
    <w:p>
      <w:pPr>
        <w:pStyle w:val="Normal"/>
        <w:autoSpaceDE w:val="false"/>
        <w:spacing w:lineRule="exact" w:line="600"/>
        <w:ind w:firstLine="471" w:end="0"/>
        <w:textAlignment w:val="center"/>
        <w:rPr>
          <w:rFonts w:ascii="楷体" w:hAnsi="楷体" w:eastAsia="楷体" w:cs="方正仿宋简体"/>
          <w:color w:val="000000"/>
          <w:spacing w:val="-8"/>
          <w:kern w:val="0"/>
          <w:sz w:val="32"/>
          <w:szCs w:val="32"/>
          <w:lang w:val="zh-CN" w:bidi="bo-CN"/>
        </w:rPr>
      </w:pPr>
      <w:r>
        <w:rPr>
          <w:rFonts w:ascii="楷体" w:hAnsi="楷体" w:cs="方正仿宋简体" w:hint="eastAsia" w:eastAsia="楷体"/>
          <w:color w:val="000000"/>
          <w:spacing w:val="-8"/>
          <w:kern w:val="0"/>
          <w:sz w:val="32"/>
          <w:szCs w:val="32"/>
          <w:lang w:val="zh-CN" w:bidi="bo-CN"/>
        </w:rPr>
        <w:t>第三章　保护和管理</w:t>
      </w:r>
    </w:p>
    <w:p>
      <w:pPr>
        <w:pStyle w:val="Normal"/>
        <w:autoSpaceDE w:val="false"/>
        <w:spacing w:lineRule="exact" w:line="600"/>
        <w:ind w:firstLine="471" w:end="0"/>
        <w:textAlignment w:val="center"/>
        <w:rPr>
          <w:rFonts w:ascii="楷体" w:hAnsi="楷体" w:eastAsia="楷体" w:cs="方正仿宋简体"/>
          <w:color w:val="000000"/>
          <w:spacing w:val="-8"/>
          <w:kern w:val="0"/>
          <w:sz w:val="32"/>
          <w:szCs w:val="32"/>
          <w:lang w:val="zh-CN" w:bidi="bo-CN"/>
        </w:rPr>
      </w:pPr>
      <w:r>
        <w:rPr>
          <w:rFonts w:ascii="楷体" w:hAnsi="楷体" w:cs="方正仿宋简体" w:hint="eastAsia" w:eastAsia="楷体"/>
          <w:color w:val="000000"/>
          <w:spacing w:val="-8"/>
          <w:kern w:val="0"/>
          <w:sz w:val="32"/>
          <w:szCs w:val="32"/>
          <w:lang w:val="zh-CN" w:bidi="bo-CN"/>
        </w:rPr>
        <w:t>第四章　法律责任</w:t>
      </w:r>
    </w:p>
    <w:p>
      <w:pPr>
        <w:pStyle w:val="Normal"/>
        <w:autoSpaceDE w:val="false"/>
        <w:spacing w:lineRule="exact" w:line="600"/>
        <w:ind w:firstLine="471" w:end="0"/>
        <w:textAlignment w:val="center"/>
        <w:rPr/>
      </w:pPr>
      <w:r>
        <w:rPr>
          <w:rFonts w:ascii="楷体" w:hAnsi="楷体" w:cs="方正仿宋简体" w:hint="eastAsia" w:eastAsia="楷体"/>
          <w:color w:val="000000"/>
          <w:spacing w:val="-8"/>
          <w:kern w:val="0"/>
          <w:sz w:val="32"/>
          <w:szCs w:val="32"/>
          <w:lang w:val="zh-CN" w:bidi="bo-CN"/>
        </w:rPr>
        <w:t>第五章　附</w:t>
      </w:r>
      <w:r>
        <w:rPr>
          <w:rFonts w:ascii="楷体" w:hAnsi="楷体" w:cs="方正仿宋简体" w:eastAsia="楷体"/>
          <w:color w:val="000000"/>
          <w:spacing w:val="-8"/>
          <w:kern w:val="0"/>
          <w:sz w:val="32"/>
          <w:szCs w:val="32"/>
          <w:lang w:val="zh-CN" w:bidi="bo-CN"/>
        </w:rPr>
        <w:t xml:space="preserve"> </w:t>
      </w:r>
      <w:r>
        <w:rPr>
          <w:rFonts w:ascii="楷体" w:hAnsi="楷体" w:cs="方正仿宋简体" w:hint="eastAsia" w:eastAsia="楷体"/>
          <w:color w:val="000000"/>
          <w:spacing w:val="-8"/>
          <w:kern w:val="0"/>
          <w:sz w:val="32"/>
          <w:szCs w:val="32"/>
          <w:lang w:val="zh-CN" w:bidi="bo-CN"/>
        </w:rPr>
        <w:t>则、</w:t>
      </w:r>
    </w:p>
    <w:p>
      <w:pPr>
        <w:pStyle w:val="Normal"/>
        <w:autoSpaceDE w:val="false"/>
        <w:spacing w:lineRule="exact" w:line="600"/>
        <w:ind w:firstLine="471" w:end="0"/>
        <w:textAlignment w:val="center"/>
        <w:rPr>
          <w:rFonts w:ascii="楷体" w:hAnsi="楷体" w:eastAsia="楷体" w:cs="方正仿宋简体" w:hint="eastAsia"/>
          <w:color w:val="000000"/>
          <w:spacing w:val="-8"/>
          <w:kern w:val="0"/>
          <w:sz w:val="32"/>
          <w:szCs w:val="32"/>
          <w:lang w:val="zh-CN" w:bidi="bo-CN"/>
        </w:rPr>
      </w:pPr>
      <w:r>
        <w:rPr>
          <w:rFonts w:eastAsia="楷体" w:cs="方正仿宋简体" w:hint="eastAsia" w:ascii="楷体" w:hAnsi="楷体"/>
          <w:color w:val="000000"/>
          <w:spacing w:val="-8"/>
          <w:kern w:val="0"/>
          <w:sz w:val="32"/>
          <w:szCs w:val="32"/>
          <w:lang w:val="zh-CN" w:bidi="bo-CN"/>
        </w:rPr>
      </w:r>
    </w:p>
    <w:p>
      <w:pPr>
        <w:pStyle w:val="Normal"/>
        <w:autoSpaceDE w:val="false"/>
        <w:spacing w:lineRule="exact" w:line="600"/>
        <w:ind w:firstLine="471" w:end="0"/>
        <w:jc w:val="center"/>
        <w:textAlignment w:val="center"/>
        <w:rPr>
          <w:rFonts w:ascii="黑体;SimHei" w:hAnsi="黑体;SimHei" w:eastAsia="黑体;SimHei" w:cs="方正仿宋简体"/>
          <w:color w:val="000000"/>
          <w:spacing w:val="-8"/>
          <w:kern w:val="0"/>
          <w:sz w:val="32"/>
          <w:szCs w:val="32"/>
          <w:lang w:val="zh-CN" w:bidi="bo-CN"/>
        </w:rPr>
      </w:pPr>
      <w:r>
        <w:rPr>
          <w:rFonts w:ascii="黑体;SimHei" w:hAnsi="黑体;SimHei" w:cs="方正黑体简体" w:hint="eastAsia" w:eastAsia="黑体;SimHei"/>
          <w:color w:val="000000"/>
          <w:kern w:val="0"/>
          <w:sz w:val="32"/>
          <w:szCs w:val="32"/>
          <w:lang w:val="zh-CN" w:bidi="bo-CN"/>
        </w:rPr>
        <w:t>第一章　总则</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第一条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为了加强城市绿化建设和管理，改善和保护城市生态环境，美化生活环境，增进人民身心健康，建设生态园林城市，根据国务院《城市绿化条例》和有关法律、法规，结合本市实际，制定本条例。</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本条例适用于本市行政区域内城市的绿化规划、建设、保护和管理。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法律、法规对森林、古树名木、珍贵树种、公园、自然保护区、风景名胜区有规定的，适用其规定。</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城市绿化工作应当坚持生态优先，城乡统筹，科学规划，全民参与的原则，保护树木所有权人和管护者合法权益，促进城市绿化事业可持续发展。</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第四条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市、县（区）人民政府应当将城市绿化事业纳入本级国民经济和社会发展规划，确定本行政区绿化覆盖目标，实行绿化目标责任制，保障城市绿化建设和养护经费的投入。</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乡、镇人民政府和街道办事处依照职责做好本辖区内的城市绿化工作。</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第五条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市、县（区）林业绿化主管部门负责本行政区域内的城市绿化规划、保护和管理工作。</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发展改革、国土资源、城乡规划、住房和城乡建设、财政、公安、市政市容、环境保护、交通、水利等部门按照职责，做好本市城市绿化工作。</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第六条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任何单位和个人都应当依照国家有关规定履行植树绿化、保护绿化成果和绿化设施的义务，拥有享受良好绿化环境的权利，并有权劝阻、举报和制止损害城市绿化及绿化设施的行为。</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第七条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市、县（区）林业绿化主管部门应当加强对城市及其周边地区的山坡林地、河湖水系、湿地等自然生态区域的保护、管理，构建绿化生态系统。</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第八条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本市鼓励单位和个人以投资、捐资、认建、认养等形式，参与城市绿化的建设和养护。投资、捐资、认建、认养的单位或者个人可以享有绿地、树木一定期限的冠名权。</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鼓励单位或个人通过承包在周边宜林荒山荒地的绿化造林，在市、县（区）林业绿化主管部门指导下签订协议，按照协议规定对其实施管护，并享有一定期限的使用权。</w:t>
      </w:r>
    </w:p>
    <w:p>
      <w:pPr>
        <w:pStyle w:val="Normal"/>
        <w:autoSpaceDE w:val="false"/>
        <w:spacing w:lineRule="exact" w:line="600"/>
        <w:ind w:firstLine="471" w:end="0"/>
        <w:textAlignment w:val="center"/>
        <w:rPr>
          <w:rFonts w:ascii="仿宋" w:hAnsi="仿宋" w:eastAsia="仿宋" w:cs="方正仿宋简体" w:hint="eastAsia"/>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第九条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市、县（区）人民政府应当对在城市绿化工作中做出突出贡献的单位和个人给予表彰和奖励。</w:t>
      </w:r>
    </w:p>
    <w:p>
      <w:pPr>
        <w:pStyle w:val="Normal"/>
        <w:autoSpaceDE w:val="false"/>
        <w:spacing w:lineRule="exact" w:line="600"/>
        <w:ind w:firstLine="471" w:end="0"/>
        <w:textAlignment w:val="center"/>
        <w:rPr>
          <w:rFonts w:ascii="仿宋" w:hAnsi="仿宋" w:eastAsia="仿宋" w:cs="方正仿宋简体" w:hint="eastAsia"/>
          <w:color w:val="000000"/>
          <w:spacing w:val="-8"/>
          <w:kern w:val="0"/>
          <w:sz w:val="32"/>
          <w:szCs w:val="32"/>
          <w:lang w:val="zh-CN" w:bidi="bo-CN"/>
        </w:rPr>
      </w:pPr>
      <w:r>
        <w:rPr>
          <w:rFonts w:eastAsia="仿宋" w:cs="方正仿宋简体" w:hint="eastAsia" w:ascii="仿宋" w:hAnsi="仿宋"/>
          <w:color w:val="000000"/>
          <w:spacing w:val="-8"/>
          <w:kern w:val="0"/>
          <w:sz w:val="32"/>
          <w:szCs w:val="32"/>
          <w:lang w:val="zh-CN" w:bidi="bo-CN"/>
        </w:rPr>
      </w:r>
    </w:p>
    <w:p>
      <w:pPr>
        <w:pStyle w:val="Normal"/>
        <w:autoSpaceDE w:val="false"/>
        <w:spacing w:lineRule="exact" w:line="600"/>
        <w:ind w:firstLine="471" w:end="0"/>
        <w:jc w:val="center"/>
        <w:textAlignment w:val="center"/>
        <w:rPr>
          <w:rFonts w:ascii="黑体;SimHei" w:hAnsi="黑体;SimHei" w:eastAsia="黑体;SimHei"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第二章</w:t>
      </w:r>
      <w:r>
        <w:rPr>
          <w:rFonts w:ascii="黑体;SimHei" w:hAnsi="黑体;SimHei" w:cs="方正仿宋简体" w:eastAsia="黑体;SimHei"/>
          <w:color w:val="000000"/>
          <w:spacing w:val="-8"/>
          <w:kern w:val="0"/>
          <w:sz w:val="32"/>
          <w:szCs w:val="32"/>
          <w:lang w:val="zh-CN" w:bidi="bo-CN"/>
        </w:rPr>
        <w:t xml:space="preserve">  </w:t>
      </w:r>
      <w:r>
        <w:rPr>
          <w:rFonts w:ascii="黑体;SimHei" w:hAnsi="黑体;SimHei" w:cs="方正仿宋简体" w:hint="eastAsia" w:eastAsia="黑体;SimHei"/>
          <w:color w:val="000000"/>
          <w:spacing w:val="-8"/>
          <w:kern w:val="0"/>
          <w:sz w:val="32"/>
          <w:szCs w:val="32"/>
          <w:lang w:val="zh-CN" w:bidi="bo-CN"/>
        </w:rPr>
        <w:t>规划和建设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林业绿化主管部门应当根据城市绿化规划编制城市绿地系统规划，确立各类绿地的控制线（以下简称绿线），安排与城市性质、规模和发展需要相适应的绿地面积，合理设置公共绿地、居住区绿地、防护绿地、生产绿地和风景林地等，并实行绿线制度管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县（区）人民政府应当依照市城市绿地系统规划，编制本县（区）绿地系统规划。</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绿线不得任意调整，因建设确需调整的，市、县（区）城乡规划主管部门应当在不减少规划绿地总量的前提下，征求市、县（区）林业绿化主管部门意见后，按照原审批程序报批。</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第十一条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任何单位和个人不得擅自占用绿地。因确需临时占用绿地的，应当经市、县（区）林业绿化主管部门审核同意，报同级人民政府批准，并按照规定缴纳绿化建设补偿费。占用期满后，应当恢复原状，并经市、县（区）林业绿化主管部门确认。造成损坏的，应当承担赔偿责任。</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第十二条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绿地建设责任按照下列规定确定：</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（一）公共绿地由市、县（区）林业绿化主管部门组织建设；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（二）公路、铁路、河道、水库等用地范围内的公共绿地由有关主管部门组织建设；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（三）建设工程附属绿地由建设单位建设；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（四）单位或个人承包的宜林荒山荒地，由承包者建设。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前款规定以外的绿地建设责任不明确的，由市、县（区）人民政府确定。</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公共绿地由市、县（区）人民政府确定并公布。</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第十三条</w:t>
      </w:r>
      <w:r>
        <w:rPr>
          <w:rFonts w:ascii="黑体;SimHei" w:hAnsi="黑体;SimHei" w:cs="方正仿宋简体" w:eastAsia="黑体;SimHei"/>
          <w:color w:val="000000"/>
          <w:spacing w:val="-8"/>
          <w:kern w:val="0"/>
          <w:sz w:val="32"/>
          <w:szCs w:val="32"/>
          <w:lang w:val="zh-CN" w:bidi="bo-CN"/>
        </w:rPr>
        <w:t xml:space="preserve"> </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市、县（区）各类建设项目的城市绿化用地比例，应当达到下列标准：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（一）居住、公共绿地率不低于</w:t>
      </w:r>
      <w:r>
        <w:rPr>
          <w:rFonts w:eastAsia="仿宋" w:cs="方正仿宋简体" w:ascii="仿宋" w:hAnsi="仿宋"/>
          <w:color w:val="000000"/>
          <w:spacing w:val="-8"/>
          <w:kern w:val="0"/>
          <w:sz w:val="32"/>
          <w:szCs w:val="32"/>
          <w:lang w:val="zh-CN" w:bidi="bo-CN"/>
        </w:rPr>
        <w:t>35%</w:t>
      </w:r>
      <w:r>
        <w:rPr>
          <w:rFonts w:ascii="仿宋" w:hAnsi="仿宋" w:cs="方正仿宋简体" w:hint="eastAsia" w:eastAsia="仿宋"/>
          <w:color w:val="000000"/>
          <w:spacing w:val="-8"/>
          <w:kern w:val="0"/>
          <w:sz w:val="32"/>
          <w:szCs w:val="32"/>
          <w:lang w:val="zh-CN" w:bidi="bo-CN"/>
        </w:rPr>
        <w:t>；其中新建区绿地率大于</w:t>
      </w:r>
      <w:r>
        <w:rPr>
          <w:rFonts w:eastAsia="仿宋" w:cs="方正仿宋简体" w:ascii="仿宋" w:hAnsi="仿宋"/>
          <w:color w:val="000000"/>
          <w:spacing w:val="-8"/>
          <w:kern w:val="0"/>
          <w:sz w:val="32"/>
          <w:szCs w:val="32"/>
          <w:lang w:val="zh-CN" w:bidi="bo-CN"/>
        </w:rPr>
        <w:t>35%</w:t>
      </w:r>
      <w:r>
        <w:rPr>
          <w:rFonts w:ascii="仿宋" w:hAnsi="仿宋" w:cs="方正仿宋简体" w:hint="eastAsia" w:eastAsia="仿宋"/>
          <w:color w:val="000000"/>
          <w:spacing w:val="-8"/>
          <w:kern w:val="0"/>
          <w:sz w:val="32"/>
          <w:szCs w:val="32"/>
          <w:lang w:val="zh-CN" w:bidi="bo-CN"/>
        </w:rPr>
        <w:t>；老城区绿地率不低于</w:t>
      </w:r>
      <w:r>
        <w:rPr>
          <w:rFonts w:eastAsia="仿宋" w:cs="方正仿宋简体" w:ascii="仿宋" w:hAnsi="仿宋"/>
          <w:color w:val="000000"/>
          <w:spacing w:val="-8"/>
          <w:kern w:val="0"/>
          <w:sz w:val="32"/>
          <w:szCs w:val="32"/>
          <w:lang w:val="zh-CN" w:bidi="bo-CN"/>
        </w:rPr>
        <w:t>15%</w:t>
      </w:r>
      <w:r>
        <w:rPr>
          <w:rFonts w:ascii="仿宋" w:hAnsi="仿宋" w:cs="方正仿宋简体" w:hint="eastAsia" w:eastAsia="仿宋"/>
          <w:color w:val="000000"/>
          <w:spacing w:val="-8"/>
          <w:kern w:val="0"/>
          <w:sz w:val="32"/>
          <w:szCs w:val="32"/>
          <w:lang w:val="zh-CN" w:bidi="bo-CN"/>
        </w:rPr>
        <w:t>；</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（二）工业绿地率不低于</w:t>
      </w:r>
      <w:r>
        <w:rPr>
          <w:rFonts w:eastAsia="仿宋" w:cs="方正仿宋简体" w:ascii="仿宋" w:hAnsi="仿宋"/>
          <w:color w:val="000000"/>
          <w:spacing w:val="-8"/>
          <w:kern w:val="0"/>
          <w:sz w:val="32"/>
          <w:szCs w:val="32"/>
          <w:lang w:val="zh-CN" w:bidi="bo-CN"/>
        </w:rPr>
        <w:t>20%</w:t>
      </w:r>
      <w:r>
        <w:rPr>
          <w:rFonts w:ascii="仿宋" w:hAnsi="仿宋" w:cs="方正仿宋简体" w:hint="eastAsia" w:eastAsia="仿宋"/>
          <w:color w:val="000000"/>
          <w:spacing w:val="-8"/>
          <w:kern w:val="0"/>
          <w:sz w:val="32"/>
          <w:szCs w:val="32"/>
          <w:lang w:val="zh-CN" w:bidi="bo-CN"/>
        </w:rPr>
        <w:t>，重污染单位和危险品仓库绿地率不低于</w:t>
      </w:r>
      <w:r>
        <w:rPr>
          <w:rFonts w:eastAsia="仿宋" w:cs="方正仿宋简体" w:ascii="仿宋" w:hAnsi="仿宋"/>
          <w:color w:val="000000"/>
          <w:spacing w:val="-8"/>
          <w:kern w:val="0"/>
          <w:sz w:val="32"/>
          <w:szCs w:val="32"/>
          <w:lang w:val="zh-CN" w:bidi="bo-CN"/>
        </w:rPr>
        <w:t>40%</w:t>
      </w:r>
      <w:r>
        <w:rPr>
          <w:rFonts w:ascii="仿宋" w:hAnsi="仿宋" w:cs="方正仿宋简体" w:hint="eastAsia" w:eastAsia="仿宋"/>
          <w:color w:val="000000"/>
          <w:spacing w:val="-8"/>
          <w:kern w:val="0"/>
          <w:sz w:val="32"/>
          <w:szCs w:val="32"/>
          <w:lang w:val="zh-CN" w:bidi="bo-CN"/>
        </w:rPr>
        <w:t>；并根据标准设置防护绿带；</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（三）城市道路、市政公用设施的绿地率不低于</w:t>
      </w:r>
      <w:r>
        <w:rPr>
          <w:rFonts w:eastAsia="仿宋" w:cs="方正仿宋简体" w:ascii="仿宋" w:hAnsi="仿宋"/>
          <w:color w:val="000000"/>
          <w:spacing w:val="-8"/>
          <w:kern w:val="0"/>
          <w:sz w:val="32"/>
          <w:szCs w:val="32"/>
          <w:lang w:val="zh-CN" w:bidi="bo-CN"/>
        </w:rPr>
        <w:t>15%</w:t>
      </w:r>
      <w:r>
        <w:rPr>
          <w:rFonts w:ascii="仿宋" w:hAnsi="仿宋" w:cs="方正仿宋简体" w:hint="eastAsia" w:eastAsia="仿宋"/>
          <w:color w:val="000000"/>
          <w:spacing w:val="-8"/>
          <w:kern w:val="0"/>
          <w:sz w:val="32"/>
          <w:szCs w:val="32"/>
          <w:lang w:val="zh-CN" w:bidi="bo-CN"/>
        </w:rPr>
        <w:t>。</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建设项目城市绿地面积达不到规定的标准又确需进行建设的，应当经市、县（区）林业绿化、国土资源、城乡规划主管部门审核同意，并报同级人民政府批准，批准后建设单位应当按照规定向市、县（区）林业绿化主管部门缴纳城市绿化补偿费，由市、县（区）林业绿化主管部门统一组织异地绿化。</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第十四条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市、县（区）国土资源、城乡规划主管部门在审批建设项目时，就建设项目</w:t>
      </w:r>
      <w:r>
        <w:rPr>
          <w:rFonts w:ascii="方正仿宋简体" w:hAnsi="方正仿宋简体" w:cs="方正仿宋简体" w:hint="eastAsia" w:eastAsia="方正仿宋简体"/>
          <w:color w:val="000000"/>
          <w:spacing w:val="-8"/>
          <w:kern w:val="0"/>
          <w:sz w:val="24"/>
          <w:szCs w:val="24"/>
          <w:lang w:val="zh-CN" w:bidi="bo-CN"/>
        </w:rPr>
        <w:t>的</w:t>
      </w:r>
      <w:r>
        <w:rPr>
          <w:rFonts w:ascii="仿宋" w:hAnsi="仿宋" w:cs="方正仿宋简体" w:hint="eastAsia" w:eastAsia="仿宋"/>
          <w:color w:val="000000"/>
          <w:spacing w:val="-8"/>
          <w:kern w:val="0"/>
          <w:sz w:val="32"/>
          <w:szCs w:val="32"/>
          <w:lang w:val="zh-CN" w:bidi="bo-CN"/>
        </w:rPr>
        <w:t>配套城市绿化工程设计方案，应当征求市、县（区）林业绿化主管部门的意见，设计达不到标准的，不得核发建设许可证。</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第十五条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新建、扩建、改建建设项目的配套城市绿化工程，应当与主体工程同步设计，同步建设。绿地建设费用应当纳入建设工程总投资。</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建设单位应当在配套绿化工程竣工后，报市、县（区）林业绿化主管部门验收合格后方可交付使用。</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第十六条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绿化工程竣工验收合格后，建设单位应当制作绿地平面图标牌，在显著位置进行永久公示。</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第十七条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绿化工程的建设应当体现地方特色，选用适应高原生态条件、经济合理的植物种类，注重植物生态习性、种植形式和植物群落的多样性、合理性。</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第十八条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市、县（区）城市绿化工程的设计、施工和监理，应当委托具备相应资质的设计、施工、监理单位承担。</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依法应当实行招标的城市绿化工程，按照国家、自治区和本市的有关规定进行招标。</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autoSpaceDE w:val="false"/>
        <w:spacing w:lineRule="exact" w:line="600"/>
        <w:ind w:firstLine="471" w:end="0"/>
        <w:jc w:val="center"/>
        <w:textAlignment w:val="center"/>
        <w:rPr>
          <w:rFonts w:ascii="黑体;SimHei" w:hAnsi="黑体;SimHei" w:eastAsia="黑体;SimHei"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第三章　保护和管理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第十九条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市、县（区）城市绿化的保护和管理责任，按照下列规定确定：</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（一）城市公共绿地、城市行道树、干次道绿化带，由市、县（区）林业绿化主管部门负责；</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（二）公路、铁路、河道、水库等地范围内的绿地由各有关主管部门负责；</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（三）风景林地、防护绿地由各级人民政府指定部门负责；</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（四）居住区绿地由居住区物业管理机构或者所在乡镇街道办事处负责；</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（五）生产绿地由生产、经营单位负责。</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市、县（区）林业绿化主管部门应当对绿地的管护给予技术指导。对保护和管理责任单位不清楚或者有争议的绿地，由所在市、县（区）人民政府确定管护责任单位。</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市林业绿化主管部门应当制定绿地养护技术标准，报市人民政府批准后公布施行。</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养护责任单位应当按照养护技术标准实施养护管理，并制定防灾减灾应急预案，遇大风、暴雨、暴雪等灾害性天气时，应当采取安全防护措施。</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第二十一条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城市道路、公路的绿化要符合行车（人）视线，不得占用盲道。行道树木影响居民采光、通风，管线、交通安全或妨碍各种公共设施正常使用的，由市、县（区）林业绿化主管部门，按照兼顾设施安全使用和植物正常生长的原则处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第二十二条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砍伐或者移植公共绿地树木的，应当由树木所有权人向市、县（区）林业绿化主管部门提出申请。一次性砍伐或者移植</w:t>
      </w:r>
      <w:r>
        <w:rPr>
          <w:rFonts w:eastAsia="仿宋" w:cs="方正仿宋简体" w:ascii="仿宋" w:hAnsi="仿宋"/>
          <w:color w:val="000000"/>
          <w:spacing w:val="-8"/>
          <w:kern w:val="0"/>
          <w:sz w:val="32"/>
          <w:szCs w:val="32"/>
          <w:lang w:val="zh-CN" w:bidi="bo-CN"/>
        </w:rPr>
        <w:t>20</w:t>
      </w:r>
      <w:r>
        <w:rPr>
          <w:rFonts w:ascii="仿宋" w:hAnsi="仿宋" w:cs="方正仿宋简体" w:hint="eastAsia" w:eastAsia="仿宋"/>
          <w:color w:val="000000"/>
          <w:spacing w:val="-8"/>
          <w:kern w:val="0"/>
          <w:sz w:val="32"/>
          <w:szCs w:val="32"/>
          <w:lang w:val="zh-CN" w:bidi="bo-CN"/>
        </w:rPr>
        <w:t>株以下的，由市、县（区）林业绿化主管部门批准；一次性砍伐或者移植</w:t>
      </w:r>
      <w:r>
        <w:rPr>
          <w:rFonts w:eastAsia="仿宋" w:cs="方正仿宋简体" w:ascii="仿宋" w:hAnsi="仿宋"/>
          <w:color w:val="000000"/>
          <w:spacing w:val="-8"/>
          <w:kern w:val="0"/>
          <w:sz w:val="32"/>
          <w:szCs w:val="32"/>
          <w:lang w:val="zh-CN" w:bidi="bo-CN"/>
        </w:rPr>
        <w:t>20</w:t>
      </w:r>
      <w:r>
        <w:rPr>
          <w:rFonts w:ascii="仿宋" w:hAnsi="仿宋" w:cs="方正仿宋简体" w:hint="eastAsia" w:eastAsia="仿宋"/>
          <w:color w:val="000000"/>
          <w:spacing w:val="-8"/>
          <w:kern w:val="0"/>
          <w:sz w:val="32"/>
          <w:szCs w:val="32"/>
          <w:lang w:val="zh-CN" w:bidi="bo-CN"/>
        </w:rPr>
        <w:t>株以上的，由市、县（区）林业绿化主管部门提出审核意见后，报同级人民政府批准，并按照有关标准缴纳城市绿化赔偿费。</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砍伐或者移植公共绿地树木的，所有权人应当提交砍伐或移植树木品种、数量、位置的砍伐或移植方案、补栽计划和移植后的管护措施。市、县（区）林业绿化主管部门应当自受理申请之日起七个工作日内作出审批决定；不予批准的，应当书面说明理由。</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砍伐许可证应当在砍伐现场公示，接受公众监督。</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第二十三条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任何单位和个人不得擅自砍伐、移植和修剪公共绿地树木。</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符合下列情形之一的城市公共树木，经市、县（区）林业绿化主管部门批准方可砍伐：</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（一）已经枯死的；</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（二）发生检疫性病虫害无保留价值或者发生其他严重病虫害的；</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（三）影响公共安全又无法移植的。</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符合下列情形之一的城市公共树木，经市、县（区）林业绿化主管部门批准方可移植或者修剪：</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（一）城市建设需要的；</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（二）严重影响居民采光、通风的；</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（三）影响公共安全，可能造成人身伤害或者财产损失的。</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第二十四条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禁止下列破坏城市绿化和绿化设施的行为：</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（一）在树木或者城市绿化设施上刻字、打钉、搭棚、栓系牲畜、架设电线、设置广告牌、标语牌；</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（二）在树木旁或者绿地内焚烧物品、倾倒废水或者有毒有害物质；</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（三）在绿地内饲养家畜、挖坑取土、搭建建</w:t>
      </w: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构</w:t>
      </w:r>
      <w:r>
        <w:rPr>
          <w:rFonts w:eastAsia="仿宋" w:cs="方正仿宋简体" w:ascii="仿宋" w:hAnsi="仿宋"/>
          <w:color w:val="000000"/>
          <w:spacing w:val="-8"/>
          <w:kern w:val="0"/>
          <w:sz w:val="32"/>
          <w:szCs w:val="32"/>
          <w:lang w:val="zh-CN" w:bidi="bo-CN"/>
        </w:rPr>
        <w:t>)</w:t>
      </w:r>
      <w:r>
        <w:rPr>
          <w:rFonts w:ascii="仿宋" w:hAnsi="仿宋" w:cs="方正仿宋简体" w:hint="eastAsia" w:eastAsia="仿宋"/>
          <w:color w:val="000000"/>
          <w:spacing w:val="-8"/>
          <w:kern w:val="0"/>
          <w:sz w:val="32"/>
          <w:szCs w:val="32"/>
          <w:lang w:val="zh-CN" w:bidi="bo-CN"/>
        </w:rPr>
        <w:t>筑物、燃放鞭炮、摆摊设点、停放车辆；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（四）其他破坏城市绿化和城市绿化设施的行为。</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第二十五条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市政、交通、电力、通讯等建设项目影响绿化的，建设单位应当在施工前与市、县（区）林业绿化主管部门商定保护、恢复措施。</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第二十六条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因管线发生突发性事故，致使树木倾倒危及交通、建筑、市政设施安全的，有关单位应当及时通知市、县（区）林业绿化主管部门。市、县（区）林业绿化主管部门应当会同有关部门及时处理。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第二十七条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因交通事故或者其他作业损坏城市绿化、城市绿化设施的，肇事者或者责任单位应当向市、县（区）林业绿化主管部门缴纳城市绿化赔偿费。</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第二十八条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因抢险救灾处理突发性事件等情况需要，对树木进行修剪或砍伐的，组织紧急情况处理的单位应当在处理结束之日起</w:t>
      </w:r>
      <w:r>
        <w:rPr>
          <w:rFonts w:eastAsia="仿宋" w:cs="方正仿宋简体" w:ascii="仿宋" w:hAnsi="仿宋"/>
          <w:color w:val="000000"/>
          <w:spacing w:val="-8"/>
          <w:kern w:val="0"/>
          <w:sz w:val="32"/>
          <w:szCs w:val="32"/>
          <w:lang w:val="zh-CN" w:bidi="bo-CN"/>
        </w:rPr>
        <w:t>10</w:t>
      </w:r>
      <w:r>
        <w:rPr>
          <w:rFonts w:ascii="仿宋" w:hAnsi="仿宋" w:cs="方正仿宋简体" w:hint="eastAsia" w:eastAsia="仿宋"/>
          <w:color w:val="000000"/>
          <w:spacing w:val="-8"/>
          <w:kern w:val="0"/>
          <w:sz w:val="32"/>
          <w:szCs w:val="32"/>
          <w:lang w:val="zh-CN" w:bidi="bo-CN"/>
        </w:rPr>
        <w:t>日内，将有关处理情况报告市、县（区）林业绿化主管部门。</w:t>
      </w:r>
    </w:p>
    <w:p>
      <w:pPr>
        <w:pStyle w:val="Normal"/>
        <w:autoSpaceDE w:val="false"/>
        <w:spacing w:lineRule="exact" w:line="600"/>
        <w:ind w:firstLine="471" w:end="0"/>
        <w:textAlignment w:val="center"/>
        <w:rPr/>
      </w:pPr>
      <w:r>
        <w:rPr>
          <w:rFonts w:ascii="黑体;SimHei" w:hAnsi="黑体;SimHei" w:cs="方正仿宋简体" w:hint="eastAsia" w:eastAsia="黑体;SimHei"/>
          <w:color w:val="000000"/>
          <w:spacing w:val="-8"/>
          <w:kern w:val="0"/>
          <w:sz w:val="32"/>
          <w:szCs w:val="32"/>
          <w:lang w:val="zh-CN" w:bidi="bo-CN"/>
        </w:rPr>
        <w:t>第二十九条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市、县（区）林业绿化主管部门应当加强对城市绿化植物的病虫害防治。</w:t>
      </w:r>
      <w:r>
        <w:rPr>
          <w:rFonts w:ascii="仿宋" w:hAnsi="仿宋" w:cs="方正仿宋简体" w:eastAsia="仿宋"/>
          <w:color w:val="000000"/>
          <w:spacing w:val="-8"/>
          <w:kern w:val="0"/>
          <w:sz w:val="32"/>
          <w:szCs w:val="32"/>
          <w:lang w:val="zh-CN" w:bidi="bo-CN"/>
        </w:rPr>
        <w:t xml:space="preserve">  </w:t>
      </w:r>
    </w:p>
    <w:p>
      <w:pPr>
        <w:pStyle w:val="Normal"/>
        <w:autoSpaceDE w:val="false"/>
        <w:spacing w:lineRule="exact" w:line="600"/>
        <w:ind w:firstLine="471" w:end="0"/>
        <w:textAlignment w:val="center"/>
        <w:rPr/>
      </w:pPr>
      <w:r>
        <w:rPr>
          <w:rFonts w:ascii="仿宋" w:hAnsi="仿宋" w:cs="方正仿宋简体" w:hint="eastAsia" w:eastAsia="仿宋"/>
          <w:color w:val="000000"/>
          <w:spacing w:val="-8"/>
          <w:kern w:val="0"/>
          <w:sz w:val="32"/>
          <w:szCs w:val="32"/>
          <w:lang w:val="zh-CN" w:bidi="bo-CN"/>
        </w:rPr>
        <w:t>引进种苗应当进行检疫，不符合检疫标准的种苗不得引进。珍稀濒于灭绝的苗木及其种质资源的交换、引进，应当按照国家、自治区和本市的有关规定办理。</w:t>
      </w:r>
      <w:r>
        <w:rPr>
          <w:rFonts w:ascii="仿宋" w:hAnsi="仿宋" w:cs="方正仿宋简体" w:eastAsia="仿宋"/>
          <w:color w:val="000000"/>
          <w:spacing w:val="-8"/>
          <w:kern w:val="0"/>
          <w:sz w:val="32"/>
          <w:szCs w:val="32"/>
          <w:lang w:val="zh-CN" w:bidi="bo-CN"/>
        </w:rPr>
        <w:t xml:space="preserve">                                           </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市、县（区）林业绿化主管部门应当对除古树名木外树龄老化或不适应当地气候，造成环境污染的树木，按照审批程序进行抚育更新。</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第三十一条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绿化补偿费、绿化赔偿费的收费办法，由市财政、物价主管部门会同林业绿化主管部门按照相关规定制定，报市人民政府批准后，向社会公布。</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绿化补偿费、绿化赔偿费应当全额上缴财政，专项用于绿化建设，不得挪作他用。</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autoSpaceDE w:val="false"/>
        <w:spacing w:lineRule="exact" w:line="600"/>
        <w:ind w:firstLine="471" w:end="0"/>
        <w:jc w:val="center"/>
        <w:textAlignment w:val="center"/>
        <w:rPr>
          <w:rFonts w:ascii="黑体;SimHei" w:hAnsi="黑体;SimHei" w:eastAsia="黑体;SimHei"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第四章　法律责任</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第三十二条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违反本条例第十一条规定的，由市、县（区）林业绿化主管部门责令限期改正，限期退还，恢复原状，可以并处</w:t>
      </w:r>
      <w:r>
        <w:rPr>
          <w:rFonts w:eastAsia="仿宋" w:cs="方正仿宋简体" w:ascii="仿宋" w:hAnsi="仿宋"/>
          <w:color w:val="000000"/>
          <w:spacing w:val="-8"/>
          <w:kern w:val="0"/>
          <w:sz w:val="32"/>
          <w:szCs w:val="32"/>
          <w:lang w:val="zh-CN" w:bidi="bo-CN"/>
        </w:rPr>
        <w:t>5000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1</w:t>
      </w:r>
      <w:r>
        <w:rPr>
          <w:rFonts w:ascii="仿宋" w:hAnsi="仿宋" w:cs="方正仿宋简体" w:hint="eastAsia" w:eastAsia="仿宋"/>
          <w:color w:val="000000"/>
          <w:spacing w:val="-8"/>
          <w:kern w:val="0"/>
          <w:sz w:val="32"/>
          <w:szCs w:val="32"/>
          <w:lang w:val="zh-CN" w:bidi="bo-CN"/>
        </w:rPr>
        <w:t>万元以下的罚款。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第三十三条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违反本条例第二十三条规定的，由市、县（区）林业绿化主管部门责令停止违法行为，并在指定地点补种砍伐株数</w:t>
      </w:r>
      <w:r>
        <w:rPr>
          <w:rFonts w:eastAsia="仿宋" w:cs="方正仿宋简体" w:ascii="仿宋" w:hAnsi="仿宋"/>
          <w:color w:val="000000"/>
          <w:spacing w:val="-8"/>
          <w:kern w:val="0"/>
          <w:sz w:val="32"/>
          <w:szCs w:val="32"/>
          <w:lang w:val="zh-CN" w:bidi="bo-CN"/>
        </w:rPr>
        <w:t>10</w:t>
      </w:r>
      <w:r>
        <w:rPr>
          <w:rFonts w:ascii="仿宋" w:hAnsi="仿宋" w:cs="方正仿宋简体" w:hint="eastAsia" w:eastAsia="仿宋"/>
          <w:color w:val="000000"/>
          <w:spacing w:val="-8"/>
          <w:kern w:val="0"/>
          <w:sz w:val="32"/>
          <w:szCs w:val="32"/>
          <w:lang w:val="zh-CN" w:bidi="bo-CN"/>
        </w:rPr>
        <w:t>倍的树木，可以并处所砍伐树木实际价值</w:t>
      </w:r>
      <w:r>
        <w:rPr>
          <w:rFonts w:eastAsia="仿宋" w:cs="方正仿宋简体" w:ascii="仿宋" w:hAnsi="仿宋"/>
          <w:color w:val="000000"/>
          <w:spacing w:val="-8"/>
          <w:kern w:val="0"/>
          <w:sz w:val="32"/>
          <w:szCs w:val="32"/>
          <w:lang w:val="zh-CN" w:bidi="bo-CN"/>
        </w:rPr>
        <w:t>1</w:t>
      </w:r>
      <w:r>
        <w:rPr>
          <w:rFonts w:ascii="仿宋" w:hAnsi="仿宋" w:cs="方正仿宋简体" w:hint="eastAsia" w:eastAsia="仿宋"/>
          <w:color w:val="000000"/>
          <w:spacing w:val="-8"/>
          <w:kern w:val="0"/>
          <w:sz w:val="32"/>
          <w:szCs w:val="32"/>
          <w:lang w:val="zh-CN" w:bidi="bo-CN"/>
        </w:rPr>
        <w:t>倍以上</w:t>
      </w:r>
      <w:r>
        <w:rPr>
          <w:rFonts w:eastAsia="仿宋" w:cs="方正仿宋简体" w:ascii="仿宋" w:hAnsi="仿宋"/>
          <w:color w:val="000000"/>
          <w:spacing w:val="-8"/>
          <w:kern w:val="0"/>
          <w:sz w:val="32"/>
          <w:szCs w:val="32"/>
          <w:lang w:val="zh-CN" w:bidi="bo-CN"/>
        </w:rPr>
        <w:t>3</w:t>
      </w:r>
      <w:r>
        <w:rPr>
          <w:rFonts w:ascii="仿宋" w:hAnsi="仿宋" w:cs="方正仿宋简体" w:hint="eastAsia" w:eastAsia="仿宋"/>
          <w:color w:val="000000"/>
          <w:spacing w:val="-8"/>
          <w:kern w:val="0"/>
          <w:sz w:val="32"/>
          <w:szCs w:val="32"/>
          <w:lang w:val="zh-CN" w:bidi="bo-CN"/>
        </w:rPr>
        <w:t>倍以下的罚款。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第三十四条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违反本条例第二十四条第一项规定的，由市、县（区）林业绿化主管部门责令改正，可以并处</w:t>
      </w:r>
      <w:r>
        <w:rPr>
          <w:rFonts w:eastAsia="仿宋" w:cs="方正仿宋简体" w:ascii="仿宋" w:hAnsi="仿宋"/>
          <w:color w:val="000000"/>
          <w:spacing w:val="-8"/>
          <w:kern w:val="0"/>
          <w:sz w:val="32"/>
          <w:szCs w:val="32"/>
          <w:lang w:val="zh-CN" w:bidi="bo-CN"/>
        </w:rPr>
        <w:t>20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100</w:t>
      </w:r>
      <w:r>
        <w:rPr>
          <w:rFonts w:ascii="仿宋" w:hAnsi="仿宋" w:cs="方正仿宋简体" w:hint="eastAsia" w:eastAsia="仿宋"/>
          <w:color w:val="000000"/>
          <w:spacing w:val="-8"/>
          <w:kern w:val="0"/>
          <w:sz w:val="32"/>
          <w:szCs w:val="32"/>
          <w:lang w:val="zh-CN" w:bidi="bo-CN"/>
        </w:rPr>
        <w:t>元以下的罚款；违反本条例第二十四条第二项、第三项规定的，由市、县（区）林业绿化主管部门责令改正，并处</w:t>
      </w:r>
      <w:r>
        <w:rPr>
          <w:rFonts w:eastAsia="仿宋" w:cs="方正仿宋简体" w:ascii="仿宋" w:hAnsi="仿宋"/>
          <w:color w:val="000000"/>
          <w:spacing w:val="-8"/>
          <w:kern w:val="0"/>
          <w:sz w:val="32"/>
          <w:szCs w:val="32"/>
          <w:lang w:val="zh-CN" w:bidi="bo-CN"/>
        </w:rPr>
        <w:t>500</w:t>
      </w:r>
      <w:r>
        <w:rPr>
          <w:rFonts w:ascii="仿宋" w:hAnsi="仿宋" w:cs="方正仿宋简体" w:hint="eastAsia" w:eastAsia="仿宋"/>
          <w:color w:val="000000"/>
          <w:spacing w:val="-8"/>
          <w:kern w:val="0"/>
          <w:sz w:val="32"/>
          <w:szCs w:val="32"/>
          <w:lang w:val="zh-CN" w:bidi="bo-CN"/>
        </w:rPr>
        <w:t>元以上</w:t>
      </w:r>
      <w:r>
        <w:rPr>
          <w:rFonts w:eastAsia="仿宋" w:cs="方正仿宋简体" w:ascii="仿宋" w:hAnsi="仿宋"/>
          <w:color w:val="000000"/>
          <w:spacing w:val="-8"/>
          <w:kern w:val="0"/>
          <w:sz w:val="32"/>
          <w:szCs w:val="32"/>
          <w:lang w:val="zh-CN" w:bidi="bo-CN"/>
        </w:rPr>
        <w:t>1000</w:t>
      </w:r>
      <w:r>
        <w:rPr>
          <w:rFonts w:ascii="仿宋" w:hAnsi="仿宋" w:cs="方正仿宋简体" w:hint="eastAsia" w:eastAsia="仿宋"/>
          <w:color w:val="000000"/>
          <w:spacing w:val="-8"/>
          <w:kern w:val="0"/>
          <w:sz w:val="32"/>
          <w:szCs w:val="32"/>
          <w:lang w:val="zh-CN" w:bidi="bo-CN"/>
        </w:rPr>
        <w:t>元以下的罚款；违反第二十四条第四项规定的，由市、县（区）林业绿化主管部门按实际损失</w:t>
      </w:r>
      <w:r>
        <w:rPr>
          <w:rFonts w:eastAsia="仿宋" w:cs="方正仿宋简体" w:ascii="仿宋" w:hAnsi="仿宋"/>
          <w:color w:val="000000"/>
          <w:spacing w:val="-8"/>
          <w:kern w:val="0"/>
          <w:sz w:val="32"/>
          <w:szCs w:val="32"/>
          <w:lang w:val="zh-CN" w:bidi="bo-CN"/>
        </w:rPr>
        <w:t>1</w:t>
      </w:r>
      <w:r>
        <w:rPr>
          <w:rFonts w:ascii="仿宋" w:hAnsi="仿宋" w:cs="方正仿宋简体" w:hint="eastAsia" w:eastAsia="仿宋"/>
          <w:color w:val="000000"/>
          <w:spacing w:val="-8"/>
          <w:kern w:val="0"/>
          <w:sz w:val="32"/>
          <w:szCs w:val="32"/>
          <w:lang w:val="zh-CN" w:bidi="bo-CN"/>
        </w:rPr>
        <w:t>倍以上</w:t>
      </w:r>
      <w:r>
        <w:rPr>
          <w:rFonts w:eastAsia="仿宋" w:cs="方正仿宋简体" w:ascii="仿宋" w:hAnsi="仿宋"/>
          <w:color w:val="000000"/>
          <w:spacing w:val="-8"/>
          <w:kern w:val="0"/>
          <w:sz w:val="32"/>
          <w:szCs w:val="32"/>
          <w:lang w:val="zh-CN" w:bidi="bo-CN"/>
        </w:rPr>
        <w:t>3</w:t>
      </w:r>
      <w:r>
        <w:rPr>
          <w:rFonts w:ascii="仿宋" w:hAnsi="仿宋" w:cs="方正仿宋简体" w:hint="eastAsia" w:eastAsia="仿宋"/>
          <w:color w:val="000000"/>
          <w:spacing w:val="-8"/>
          <w:kern w:val="0"/>
          <w:sz w:val="32"/>
          <w:szCs w:val="32"/>
          <w:lang w:val="zh-CN" w:bidi="bo-CN"/>
        </w:rPr>
        <w:t>倍以下的罚款。</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第三十五条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阻碍市、县（区）林业绿化主管部门工作人员依法执行公务，造成严重后果的，由公安机关按照《中华人民共和国治安管理处罚法》进行行政处罚；构成犯罪的，依法追究刑事责任。</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第三十六条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违反本条例规定，有下列行为之一的，由其所在单位或者上级主管机关对直接负责的主管人员和其他直接责任人员依法给予处分；涉嫌犯罪的，由司法机关处理。</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（一）本条例所涉及的相关部门及其工作人员滥用职权、玩忽职守、徇私舞弊的；</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（二）林业绿化主管部门及其工作人员挤占、截留、挪用绿化补偿费、绿化赔偿费的；</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仿宋" w:hAnsi="仿宋" w:cs="方正仿宋简体" w:hint="eastAsia" w:eastAsia="仿宋"/>
          <w:color w:val="000000"/>
          <w:spacing w:val="-8"/>
          <w:kern w:val="0"/>
          <w:sz w:val="32"/>
          <w:szCs w:val="32"/>
          <w:lang w:val="zh-CN" w:bidi="bo-CN"/>
        </w:rPr>
        <w:t>（三）违反本条例的其他行为。</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autoSpaceDE w:val="false"/>
        <w:spacing w:lineRule="exact" w:line="600"/>
        <w:ind w:firstLine="471" w:end="0"/>
        <w:jc w:val="center"/>
        <w:textAlignment w:val="center"/>
        <w:rPr>
          <w:rFonts w:ascii="黑体;SimHei" w:hAnsi="黑体;SimHei" w:eastAsia="黑体;SimHei"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第五章　附</w:t>
      </w:r>
      <w:r>
        <w:rPr>
          <w:rFonts w:ascii="黑体;SimHei" w:hAnsi="黑体;SimHei" w:cs="方正仿宋简体" w:eastAsia="黑体;SimHei"/>
          <w:color w:val="000000"/>
          <w:spacing w:val="-8"/>
          <w:kern w:val="0"/>
          <w:sz w:val="32"/>
          <w:szCs w:val="32"/>
          <w:lang w:val="zh-CN" w:bidi="bo-CN"/>
        </w:rPr>
        <w:t xml:space="preserve"> </w:t>
      </w:r>
      <w:r>
        <w:rPr>
          <w:rFonts w:ascii="黑体;SimHei" w:hAnsi="黑体;SimHei" w:cs="方正仿宋简体" w:hint="eastAsia" w:eastAsia="黑体;SimHei"/>
          <w:color w:val="000000"/>
          <w:spacing w:val="-8"/>
          <w:kern w:val="0"/>
          <w:sz w:val="32"/>
          <w:szCs w:val="32"/>
          <w:lang w:val="zh-CN" w:bidi="bo-CN"/>
        </w:rPr>
        <w:t>则</w:t>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eastAsia="仿宋" w:cs="方正仿宋简体" w:ascii="仿宋" w:hAnsi="仿宋"/>
          <w:color w:val="000000"/>
          <w:spacing w:val="-8"/>
          <w:kern w:val="0"/>
          <w:sz w:val="32"/>
          <w:szCs w:val="32"/>
          <w:lang w:val="zh-CN" w:bidi="bo-CN"/>
        </w:rPr>
      </w:r>
    </w:p>
    <w:p>
      <w:pPr>
        <w:pStyle w:val="Normal"/>
        <w:autoSpaceDE w:val="false"/>
        <w:spacing w:lineRule="exact" w:line="600"/>
        <w:ind w:firstLine="471" w:end="0"/>
        <w:textAlignment w:val="center"/>
        <w:rPr>
          <w:rFonts w:ascii="仿宋" w:hAnsi="仿宋" w:eastAsia="仿宋" w:cs="方正仿宋简体"/>
          <w:color w:val="000000"/>
          <w:spacing w:val="-8"/>
          <w:kern w:val="0"/>
          <w:sz w:val="32"/>
          <w:szCs w:val="32"/>
          <w:lang w:val="zh-CN" w:bidi="bo-CN"/>
        </w:rPr>
      </w:pPr>
      <w:r>
        <w:rPr>
          <w:rFonts w:ascii="黑体;SimHei" w:hAnsi="黑体;SimHei" w:cs="方正仿宋简体" w:hint="eastAsia" w:eastAsia="黑体;SimHei"/>
          <w:color w:val="000000"/>
          <w:spacing w:val="-8"/>
          <w:kern w:val="0"/>
          <w:sz w:val="32"/>
          <w:szCs w:val="32"/>
          <w:lang w:val="zh-CN" w:bidi="bo-CN"/>
        </w:rPr>
        <w:t>第三十七条</w:t>
      </w:r>
      <w:r>
        <w:rPr>
          <w:rFonts w:ascii="仿宋" w:hAnsi="仿宋" w:cs="方正仿宋简体" w:eastAsia="仿宋"/>
          <w:color w:val="000000"/>
          <w:spacing w:val="-8"/>
          <w:kern w:val="0"/>
          <w:sz w:val="32"/>
          <w:szCs w:val="32"/>
          <w:lang w:val="zh-CN" w:bidi="bo-CN"/>
        </w:rPr>
        <w:t xml:space="preserve">  </w:t>
      </w:r>
      <w:r>
        <w:rPr>
          <w:rFonts w:ascii="仿宋" w:hAnsi="仿宋" w:cs="方正仿宋简体" w:hint="eastAsia" w:eastAsia="仿宋"/>
          <w:color w:val="000000"/>
          <w:spacing w:val="-8"/>
          <w:kern w:val="0"/>
          <w:sz w:val="32"/>
          <w:szCs w:val="32"/>
          <w:lang w:val="zh-CN" w:bidi="bo-CN"/>
        </w:rPr>
        <w:t>本条例自</w:t>
      </w:r>
      <w:r>
        <w:rPr>
          <w:rFonts w:eastAsia="仿宋" w:cs="方正仿宋简体" w:ascii="仿宋" w:hAnsi="仿宋"/>
          <w:color w:val="000000"/>
          <w:spacing w:val="-8"/>
          <w:kern w:val="0"/>
          <w:sz w:val="32"/>
          <w:szCs w:val="32"/>
          <w:lang w:val="zh-CN" w:bidi="bo-CN"/>
        </w:rPr>
        <w:t>2014</w:t>
      </w:r>
      <w:r>
        <w:rPr>
          <w:rFonts w:ascii="仿宋" w:hAnsi="仿宋" w:cs="方正仿宋简体" w:hint="eastAsia" w:eastAsia="仿宋"/>
          <w:color w:val="000000"/>
          <w:spacing w:val="-8"/>
          <w:kern w:val="0"/>
          <w:sz w:val="32"/>
          <w:szCs w:val="32"/>
          <w:lang w:val="zh-CN" w:bidi="bo-CN"/>
        </w:rPr>
        <w:t>年</w:t>
      </w:r>
      <w:r>
        <w:rPr>
          <w:rFonts w:eastAsia="仿宋" w:cs="方正仿宋简体" w:ascii="仿宋" w:hAnsi="仿宋"/>
          <w:color w:val="000000"/>
          <w:spacing w:val="-8"/>
          <w:kern w:val="0"/>
          <w:sz w:val="32"/>
          <w:szCs w:val="32"/>
          <w:lang w:val="zh-CN" w:bidi="bo-CN"/>
        </w:rPr>
        <w:t>7</w:t>
      </w:r>
      <w:r>
        <w:rPr>
          <w:rFonts w:ascii="仿宋" w:hAnsi="仿宋" w:cs="方正仿宋简体" w:hint="eastAsia" w:eastAsia="仿宋"/>
          <w:color w:val="000000"/>
          <w:spacing w:val="-8"/>
          <w:kern w:val="0"/>
          <w:sz w:val="32"/>
          <w:szCs w:val="32"/>
          <w:lang w:val="zh-CN" w:bidi="bo-CN"/>
        </w:rPr>
        <w:t>月</w:t>
      </w:r>
      <w:r>
        <w:rPr>
          <w:rFonts w:eastAsia="仿宋" w:cs="方正仿宋简体" w:ascii="仿宋" w:hAnsi="仿宋"/>
          <w:color w:val="000000"/>
          <w:spacing w:val="-8"/>
          <w:kern w:val="0"/>
          <w:sz w:val="32"/>
          <w:szCs w:val="32"/>
          <w:lang w:val="zh-CN" w:bidi="bo-CN"/>
        </w:rPr>
        <w:t>1</w:t>
      </w:r>
      <w:r>
        <w:rPr>
          <w:rFonts w:ascii="仿宋" w:hAnsi="仿宋" w:cs="方正仿宋简体" w:hint="eastAsia" w:eastAsia="仿宋"/>
          <w:color w:val="000000"/>
          <w:spacing w:val="-8"/>
          <w:kern w:val="0"/>
          <w:sz w:val="32"/>
          <w:szCs w:val="32"/>
          <w:lang w:val="zh-CN" w:bidi="bo-CN"/>
        </w:rPr>
        <w:t>日起实行。</w:t>
      </w:r>
      <w:r>
        <w:rPr>
          <w:rFonts w:eastAsia="仿宋" w:cs="方正仿宋简体" w:ascii="仿宋" w:hAnsi="仿宋"/>
          <w:color w:val="000000"/>
          <w:spacing w:val="-8"/>
          <w:kern w:val="0"/>
          <w:sz w:val="32"/>
          <w:szCs w:val="32"/>
          <w:lang w:val="zh-CN" w:bidi="bo-CN"/>
        </w:rPr>
        <w:t>1996</w:t>
      </w:r>
      <w:r>
        <w:rPr>
          <w:rFonts w:ascii="仿宋" w:hAnsi="仿宋" w:cs="方正仿宋简体" w:hint="eastAsia" w:eastAsia="仿宋"/>
          <w:color w:val="000000"/>
          <w:spacing w:val="-8"/>
          <w:kern w:val="0"/>
          <w:sz w:val="32"/>
          <w:szCs w:val="32"/>
          <w:lang w:val="zh-CN" w:bidi="bo-CN"/>
        </w:rPr>
        <w:t>年</w:t>
      </w:r>
      <w:r>
        <w:rPr>
          <w:rFonts w:eastAsia="仿宋" w:cs="方正仿宋简体" w:ascii="仿宋" w:hAnsi="仿宋"/>
          <w:color w:val="000000"/>
          <w:spacing w:val="-8"/>
          <w:kern w:val="0"/>
          <w:sz w:val="32"/>
          <w:szCs w:val="32"/>
          <w:lang w:val="zh-CN" w:bidi="bo-CN"/>
        </w:rPr>
        <w:t>7</w:t>
      </w:r>
      <w:r>
        <w:rPr>
          <w:rFonts w:ascii="仿宋" w:hAnsi="仿宋" w:cs="方正仿宋简体" w:hint="eastAsia" w:eastAsia="仿宋"/>
          <w:color w:val="000000"/>
          <w:spacing w:val="-8"/>
          <w:kern w:val="0"/>
          <w:sz w:val="32"/>
          <w:szCs w:val="32"/>
          <w:lang w:val="zh-CN" w:bidi="bo-CN"/>
        </w:rPr>
        <w:t>月</w:t>
      </w:r>
      <w:r>
        <w:rPr>
          <w:rFonts w:eastAsia="仿宋" w:cs="方正仿宋简体" w:ascii="仿宋" w:hAnsi="仿宋"/>
          <w:color w:val="000000"/>
          <w:spacing w:val="-8"/>
          <w:kern w:val="0"/>
          <w:sz w:val="32"/>
          <w:szCs w:val="32"/>
          <w:lang w:val="zh-CN" w:bidi="bo-CN"/>
        </w:rPr>
        <w:t>12</w:t>
      </w:r>
      <w:r>
        <w:rPr>
          <w:rFonts w:ascii="仿宋" w:hAnsi="仿宋" w:cs="方正仿宋简体" w:hint="eastAsia" w:eastAsia="仿宋"/>
          <w:color w:val="000000"/>
          <w:spacing w:val="-8"/>
          <w:kern w:val="0"/>
          <w:sz w:val="32"/>
          <w:szCs w:val="32"/>
          <w:lang w:val="zh-CN" w:bidi="bo-CN"/>
        </w:rPr>
        <w:t>日西藏自治区第六届人民代表大会常务委员会第二十次会议批准的《拉萨市城市绿化条例》同时废止。</w:t>
      </w:r>
    </w:p>
    <w:p>
      <w:pPr>
        <w:pStyle w:val="Normal"/>
        <w:rPr>
          <w:rFonts w:ascii="仿宋" w:hAnsi="仿宋" w:eastAsia="仿宋" w:cs="方正仿宋简体" w:hint="eastAsia"/>
          <w:color w:val="000000"/>
          <w:spacing w:val="-8"/>
          <w:kern w:val="0"/>
          <w:sz w:val="32"/>
          <w:szCs w:val="32"/>
          <w:lang w:val="zh-CN" w:bidi="bo-CN"/>
        </w:rPr>
      </w:pPr>
      <w:r>
        <w:rPr>
          <w:rFonts w:eastAsia="仿宋" w:cs="方正仿宋简体" w:hint="eastAsia" w:ascii="仿宋" w:hAnsi="仿宋"/>
          <w:color w:val="000000"/>
          <w:spacing w:val="-8"/>
          <w:kern w:val="0"/>
          <w:sz w:val="32"/>
          <w:szCs w:val="32"/>
          <w:lang w:val="zh-CN" w:bidi="bo-CN"/>
        </w:rPr>
      </w:r>
    </w:p>
    <w:sectPr>
      <w:footerReference w:type="even" r:id="rId2"/>
      <w:footerReference w:type="default" r:id="rId3"/>
      <w:type w:val="nextPage"/>
      <w:pgSz w:w="11906" w:h="16838"/>
      <w:pgMar w:left="1588" w:right="1474" w:gutter="0" w:header="0" w:top="2098" w:footer="1389" w:bottom="1985"/>
      <w:pgNumType w:fmt="decimal"/>
      <w:formProt w:val="false"/>
      <w:textDirection w:val="lrTb"/>
      <w:docGrid w:type="default" w:linePitch="286"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方正黑体简体">
    <w:charset w:val="86"/>
    <w:family w:val="auto"/>
    <w:pitch w:val="variable"/>
  </w:font>
  <w:font w:name="方正楷体简体">
    <w:charset w:val="86"/>
    <w:family w:val="auto"/>
    <w:pitch w:val="variable"/>
  </w:font>
  <w:font w:name="宋体">
    <w:altName w:val="SimSun"/>
    <w:charset w:val="86"/>
    <w:family w:val="auto"/>
    <w:pitch w:val="variable"/>
  </w:font>
  <w:font w:name="楷体">
    <w:charset w:val="86"/>
    <w:family w:val="modern"/>
    <w:pitch w:val="default"/>
  </w:font>
  <w:font w:name="黑体">
    <w:altName w:val="SimHei"/>
    <w:charset w:val="86"/>
    <w:family w:val="modern"/>
    <w:pitch w:val="default"/>
  </w:font>
  <w:font w:name="仿宋">
    <w:charset w:val="86"/>
    <w:family w:val="modern"/>
    <w:pitch w:val="default"/>
  </w:font>
  <w:font w:name="方正仿宋简体">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Fonts w:cs="宋体;SimSun" w:hint="eastAsia" w:ascii="宋体;SimSun" w:hAnsi="宋体;SimSun"/>
        <w:sz w:val="24"/>
        <w:szCs w:val="24"/>
      </w:rPr>
      <w:t>—</w:t>
    </w: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10</w:t>
    </w:r>
    <w:r>
      <w:rPr>
        <w:rFonts w:cs="宋体;SimSun" w:ascii="宋体;SimSun" w:hAnsi="宋体;SimSun"/>
        <w:sz w:val="24"/>
        <w:szCs w:val="24"/>
      </w:rPr>
      <w:fldChar w:fldCharType="end"/>
    </w:r>
    <w:r>
      <w:rPr>
        <w:rFonts w:cs="宋体;SimSun" w:hint="eastAsia" w:ascii="宋体;SimSun" w:hAnsi="宋体;SimSun"/>
        <w:sz w:val="24"/>
        <w:szCs w:val="24"/>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pPr>
    <w:r>
      <w:rPr>
        <w:rFonts w:cs="宋体;SimSun" w:hint="eastAsia" w:ascii="宋体;SimSun" w:hAnsi="宋体;SimSun"/>
        <w:sz w:val="24"/>
        <w:szCs w:val="24"/>
      </w:rPr>
      <w:t>—</w:t>
    </w:r>
    <w:r>
      <w:rPr>
        <w:rFonts w:cs="宋体;SimSun" w:ascii="宋体;SimSun" w:hAnsi="宋体;SimSun"/>
        <w:sz w:val="24"/>
        <w:szCs w:val="24"/>
      </w:rPr>
      <w:fldChar w:fldCharType="begin"/>
    </w:r>
    <w:r>
      <w:rPr>
        <w:rFonts w:cs="宋体;SimSun" w:ascii="宋体;SimSun" w:hAnsi="宋体;SimSun"/>
        <w:sz w:val="24"/>
        <w:szCs w:val="24"/>
      </w:rPr>
      <w:instrText xml:space="preserve"> PAGE </w:instrText>
    </w:r>
    <w:r>
      <w:rPr>
        <w:rFonts w:cs="宋体;SimSun" w:ascii="宋体;SimSun" w:hAnsi="宋体;SimSun"/>
        <w:sz w:val="24"/>
        <w:szCs w:val="24"/>
      </w:rPr>
      <w:fldChar w:fldCharType="separate"/>
    </w:r>
    <w:r>
      <w:rPr>
        <w:rFonts w:cs="宋体;SimSun" w:ascii="宋体;SimSun" w:hAnsi="宋体;SimSun"/>
        <w:sz w:val="24"/>
        <w:szCs w:val="24"/>
      </w:rPr>
      <w:t>11</w:t>
    </w:r>
    <w:r>
      <w:rPr>
        <w:rFonts w:cs="宋体;SimSun" w:ascii="宋体;SimSun" w:hAnsi="宋体;SimSun"/>
        <w:sz w:val="24"/>
        <w:szCs w:val="24"/>
      </w:rPr>
      <w:fldChar w:fldCharType="end"/>
    </w:r>
    <w:r>
      <w:rPr>
        <w:rFonts w:cs="宋体;SimSun" w:hint="eastAsia" w:ascii="宋体;SimSun" w:hAnsi="宋体;SimSun"/>
        <w:sz w:val="24"/>
        <w:szCs w:val="24"/>
      </w:rPr>
      <w:t>—</w: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Microsoft Himalaya"/>
      <w:color w:val="auto"/>
      <w:kern w:val="2"/>
      <w:sz w:val="21"/>
      <w:szCs w:val="22"/>
      <w:lang w:bidi="ar-SA" w:val="en-US" w:eastAsia="zh-CN"/>
    </w:rPr>
  </w:style>
  <w:style w:type="character" w:styleId="Style14">
    <w:name w:val="默认段落字体"/>
    <w:qFormat/>
    <w:rPr/>
  </w:style>
  <w:style w:type="character" w:styleId="Style15">
    <w:name w:val="仿宋加粗"/>
    <w:qFormat/>
    <w:rPr>
      <w:color w:val="000000"/>
    </w:rPr>
  </w:style>
  <w:style w:type="character" w:styleId="Style16">
    <w:name w:val="空格"/>
    <w:qFormat/>
    <w:rPr>
      <w:outline/>
      <w:w w:val="80"/>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7">
    <w:name w:val="大标题"/>
    <w:basedOn w:val="Normal"/>
    <w:qFormat/>
    <w:pPr>
      <w:autoSpaceDE w:val="false"/>
      <w:spacing w:lineRule="atLeast" w:line="420"/>
      <w:jc w:val="center"/>
      <w:textAlignment w:val="center"/>
    </w:pPr>
    <w:rPr>
      <w:rFonts w:ascii="方正黑体简体" w:hAnsi="方正黑体简体" w:eastAsia="方正黑体简体" w:cs="方正黑体简体"/>
      <w:color w:val="000000"/>
      <w:spacing w:val="2"/>
      <w:kern w:val="0"/>
      <w:sz w:val="31"/>
      <w:szCs w:val="31"/>
      <w:lang w:val="zh-CN" w:bidi="bo-CN"/>
    </w:rPr>
  </w:style>
  <w:style w:type="paragraph" w:styleId="Style18">
    <w:name w:val="楷体（通过时间）"/>
    <w:basedOn w:val="Normal"/>
    <w:qFormat/>
    <w:pPr>
      <w:autoSpaceDE w:val="false"/>
      <w:spacing w:lineRule="atLeast" w:line="400"/>
      <w:ind w:firstLine="454" w:start="0" w:end="0"/>
      <w:textAlignment w:val="center"/>
    </w:pPr>
    <w:rPr>
      <w:rFonts w:ascii="方正楷体简体" w:hAnsi="方正楷体简体" w:eastAsia="方正楷体简体" w:cs="方正楷体简体"/>
      <w:color w:val="000000"/>
      <w:kern w:val="0"/>
      <w:sz w:val="24"/>
      <w:szCs w:val="24"/>
      <w:lang w:val="zh-CN" w:bidi="bo-CN"/>
    </w:rPr>
  </w:style>
  <w:style w:type="paragraph" w:styleId="Style19">
    <w:name w:val="第一章"/>
    <w:basedOn w:val="Normal"/>
    <w:qFormat/>
    <w:pPr>
      <w:autoSpaceDE w:val="false"/>
      <w:spacing w:lineRule="atLeast" w:line="404"/>
      <w:jc w:val="center"/>
      <w:textAlignment w:val="center"/>
    </w:pPr>
    <w:rPr>
      <w:rFonts w:ascii="方正黑体简体" w:hAnsi="方正黑体简体" w:eastAsia="方正黑体简体" w:cs="方正黑体简体"/>
      <w:color w:val="000000"/>
      <w:kern w:val="0"/>
      <w:sz w:val="26"/>
      <w:szCs w:val="26"/>
      <w:lang w:val="zh-CN" w:bidi="bo-CN"/>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20">
    <w:name w:val="第一节"/>
    <w:basedOn w:val="Normal"/>
    <w:qFormat/>
    <w:pPr>
      <w:autoSpaceDE w:val="false"/>
      <w:spacing w:lineRule="atLeast" w:line="404" w:before="170" w:after="113"/>
      <w:jc w:val="center"/>
      <w:textAlignment w:val="center"/>
    </w:pPr>
    <w:rPr>
      <w:rFonts w:ascii="方正黑体简体" w:hAnsi="方正黑体简体" w:eastAsia="方正黑体简体" w:cs="方正黑体简体"/>
      <w:color w:val="000000"/>
      <w:spacing w:val="-8"/>
      <w:kern w:val="0"/>
      <w:sz w:val="24"/>
      <w:szCs w:val="24"/>
      <w:lang w:val="zh-CN" w:bidi="bo-C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2016-12-14T20:25:00Z</dcterms:created>
  <dc:creator>Administrator</dc:creator>
  <dc:description/>
  <cp:keywords/>
  <dc:language>en-US</dc:language>
  <cp:lastModifiedBy>Administrator</cp:lastModifiedBy>
  <dcterms:modified xsi:type="dcterms:W3CDTF">2016-12-14T21:41:00Z</dcterms:modified>
  <cp:revision>7</cp:revision>
  <dc:subject/>
  <dc:title/>
</cp:coreProperties>
</file>