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0" w:start="0" w:endChars="0" w:end="0"/>
        <w:jc w:val="center"/>
        <w:textAlignment w:val="auto"/>
        <w:rPr>
          <w:rFonts w:ascii="宋体" w:hAnsi="宋体" w:eastAsia="宋体" w:cs="宋体" w:hint="eastAsia"/>
          <w:sz w:val="32"/>
          <w:lang w:val="zh-CN"/>
        </w:rPr>
      </w:pPr>
      <w:r>
        <w:rPr>
          <w:rFonts w:eastAsia="宋体" w:cs="宋体" w:hint="eastAsia" w:ascii="宋体" w:hAnsi="宋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0" w:start="0" w:endChars="0" w:end="0"/>
        <w:jc w:val="center"/>
        <w:textAlignment w:val="auto"/>
        <w:rPr>
          <w:rFonts w:ascii="宋体" w:hAnsi="宋体" w:eastAsia="宋体" w:cs="宋体" w:hint="eastAsia"/>
          <w:sz w:val="44"/>
          <w:lang w:val="zh-CN"/>
        </w:rPr>
      </w:pPr>
      <w:r>
        <w:rPr>
          <w:rFonts w:ascii="宋体" w:hAnsi="宋体" w:cs="宋体" w:hint="eastAsia"/>
          <w:sz w:val="44"/>
          <w:lang w:val="zh-CN"/>
        </w:rPr>
        <w:t>拉萨市村庄规划建设管理条例</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宋体" w:hAnsi="宋体" w:eastAsia="宋体" w:cs="宋体" w:hint="eastAsia"/>
          <w:sz w:val="32"/>
          <w:lang w:val="zh-CN"/>
        </w:rPr>
      </w:pPr>
      <w:r>
        <w:rPr>
          <w:rFonts w:eastAsia="宋体" w:cs="宋体" w:hint="eastAsia" w:ascii="宋体" w:hAnsi="宋体"/>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w w:val="95"/>
          <w:sz w:val="32"/>
          <w:u w:val="none"/>
          <w:lang w:val="zh-CN"/>
        </w:rPr>
      </w:pPr>
      <w:r>
        <w:rPr>
          <w:rFonts w:ascii="楷体_GB2312" w:hAnsi="楷体_GB2312" w:cs="楷体_GB2312" w:hint="eastAsia" w:eastAsia="楷体_GB2312"/>
          <w:color w:val="333333"/>
          <w:w w:val="95"/>
          <w:sz w:val="32"/>
          <w:u w:val="none"/>
          <w:lang w:val="zh-CN"/>
        </w:rPr>
        <w:t>（</w:t>
      </w:r>
      <w:r>
        <w:rPr>
          <w:rFonts w:eastAsia="楷体_GB2312" w:cs="楷体_GB2312" w:hint="eastAsia" w:ascii="楷体_GB2312" w:hAnsi="楷体_GB2312"/>
          <w:color w:val="333333"/>
          <w:w w:val="95"/>
          <w:sz w:val="32"/>
          <w:u w:val="none"/>
          <w:lang w:val="zh-CN"/>
        </w:rPr>
        <w:t>2018</w:t>
      </w:r>
      <w:r>
        <w:rPr>
          <w:rFonts w:ascii="楷体_GB2312" w:hAnsi="楷体_GB2312" w:cs="楷体_GB2312" w:hint="eastAsia" w:eastAsia="楷体_GB2312"/>
          <w:color w:val="333333"/>
          <w:w w:val="95"/>
          <w:sz w:val="32"/>
          <w:u w:val="none"/>
          <w:lang w:val="zh-CN"/>
        </w:rPr>
        <w:t>年</w:t>
      </w:r>
      <w:r>
        <w:rPr>
          <w:rFonts w:eastAsia="楷体_GB2312" w:cs="楷体_GB2312" w:hint="eastAsia" w:ascii="楷体_GB2312" w:hAnsi="楷体_GB2312"/>
          <w:color w:val="333333"/>
          <w:w w:val="95"/>
          <w:sz w:val="32"/>
          <w:u w:val="none"/>
          <w:lang w:val="zh-CN"/>
        </w:rPr>
        <w:t>10</w:t>
      </w:r>
      <w:r>
        <w:rPr>
          <w:rFonts w:ascii="楷体_GB2312" w:hAnsi="楷体_GB2312" w:cs="楷体_GB2312" w:hint="eastAsia" w:eastAsia="楷体_GB2312"/>
          <w:color w:val="333333"/>
          <w:w w:val="95"/>
          <w:sz w:val="32"/>
          <w:u w:val="none"/>
          <w:lang w:val="zh-CN"/>
        </w:rPr>
        <w:t>月</w:t>
      </w:r>
      <w:r>
        <w:rPr>
          <w:rFonts w:eastAsia="楷体_GB2312" w:cs="楷体_GB2312" w:hint="eastAsia" w:ascii="楷体_GB2312" w:hAnsi="楷体_GB2312"/>
          <w:color w:val="333333"/>
          <w:w w:val="95"/>
          <w:sz w:val="32"/>
          <w:u w:val="none"/>
          <w:lang w:val="zh-CN"/>
        </w:rPr>
        <w:t>25</w:t>
      </w:r>
      <w:r>
        <w:rPr>
          <w:rFonts w:ascii="楷体_GB2312" w:hAnsi="楷体_GB2312" w:cs="楷体_GB2312" w:hint="eastAsia" w:eastAsia="楷体_GB2312"/>
          <w:color w:val="333333"/>
          <w:w w:val="95"/>
          <w:sz w:val="32"/>
          <w:u w:val="none"/>
          <w:lang w:val="zh-CN"/>
        </w:rPr>
        <w:t>日拉萨市第十一届人民代表大会常务委员会第十四次会议通过</w:t>
      </w:r>
      <w:r>
        <w:rPr>
          <w:rFonts w:ascii="楷体_GB2312" w:hAnsi="楷体_GB2312" w:cs="楷体_GB2312" w:hint="eastAsia" w:eastAsia="楷体_GB2312"/>
          <w:color w:val="333333"/>
          <w:w w:val="95"/>
          <w:sz w:val="32"/>
          <w:u w:val="none"/>
        </w:rPr>
        <w:t xml:space="preserve">  </w:t>
      </w:r>
      <w:r>
        <w:rPr>
          <w:rFonts w:eastAsia="楷体_GB2312" w:cs="楷体_GB2312" w:hint="eastAsia" w:ascii="楷体_GB2312" w:hAnsi="楷体_GB2312"/>
          <w:color w:val="333333"/>
          <w:w w:val="95"/>
          <w:sz w:val="32"/>
          <w:u w:val="none"/>
          <w:lang w:val="zh-CN"/>
        </w:rPr>
        <w:t>2018</w:t>
      </w:r>
      <w:r>
        <w:rPr>
          <w:rFonts w:ascii="楷体_GB2312" w:hAnsi="楷体_GB2312" w:cs="楷体_GB2312" w:hint="eastAsia" w:eastAsia="楷体_GB2312"/>
          <w:color w:val="333333"/>
          <w:w w:val="95"/>
          <w:sz w:val="32"/>
          <w:u w:val="none"/>
          <w:lang w:val="zh-CN"/>
        </w:rPr>
        <w:t>年</w:t>
      </w:r>
      <w:r>
        <w:rPr>
          <w:rFonts w:eastAsia="楷体_GB2312" w:cs="楷体_GB2312" w:hint="eastAsia" w:ascii="楷体_GB2312" w:hAnsi="楷体_GB2312"/>
          <w:color w:val="333333"/>
          <w:w w:val="95"/>
          <w:sz w:val="32"/>
          <w:u w:val="none"/>
          <w:lang w:val="zh-CN"/>
        </w:rPr>
        <w:t>11</w:t>
      </w:r>
      <w:r>
        <w:rPr>
          <w:rFonts w:ascii="楷体_GB2312" w:hAnsi="楷体_GB2312" w:cs="楷体_GB2312" w:hint="eastAsia" w:eastAsia="楷体_GB2312"/>
          <w:color w:val="333333"/>
          <w:w w:val="95"/>
          <w:sz w:val="32"/>
          <w:u w:val="none"/>
          <w:lang w:val="zh-CN"/>
        </w:rPr>
        <w:t>月</w:t>
      </w:r>
      <w:r>
        <w:rPr>
          <w:rFonts w:eastAsia="楷体_GB2312" w:cs="楷体_GB2312" w:hint="eastAsia" w:ascii="楷体_GB2312" w:hAnsi="楷体_GB2312"/>
          <w:color w:val="333333"/>
          <w:w w:val="95"/>
          <w:sz w:val="32"/>
          <w:u w:val="none"/>
          <w:lang w:val="zh-CN"/>
        </w:rPr>
        <w:t>27</w:t>
      </w:r>
      <w:r>
        <w:rPr>
          <w:rFonts w:ascii="楷体_GB2312" w:hAnsi="楷体_GB2312" w:cs="楷体_GB2312" w:hint="eastAsia" w:eastAsia="楷体_GB2312"/>
          <w:color w:val="333333"/>
          <w:w w:val="95"/>
          <w:sz w:val="32"/>
          <w:u w:val="none"/>
          <w:lang w:val="zh-CN"/>
        </w:rPr>
        <w:t>日西藏自治区第十一届人民代表大会常务委员会第七次会议批准）</w:t>
      </w:r>
    </w:p>
    <w:p>
      <w:pPr>
        <w:pStyle w:val="Normal1"/>
        <w:keepNext w:val="false"/>
        <w:keepLines w:val="false"/>
        <w:pageBreakBefore w:val="false"/>
        <w:widowControl w:val="false"/>
        <w:kinsoku w:val="true"/>
        <w:overflowPunct w:val="true"/>
        <w:autoSpaceDE w:val="false"/>
        <w:bidi w:val="0"/>
        <w:snapToGrid w:val="true"/>
        <w:spacing w:lineRule="exact" w:line="576"/>
        <w:jc w:val="both"/>
        <w:textAlignment w:val="auto"/>
        <w:rPr>
          <w:rFonts w:ascii="楷体" w:hAnsi="楷体" w:eastAsia="楷体" w:cs="楷体" w:hint="eastAsia"/>
          <w:color w:val="333333"/>
          <w:w w:val="95"/>
          <w:sz w:val="44"/>
          <w:u w:val="none"/>
          <w:lang w:val="zh-CN"/>
        </w:rPr>
      </w:pPr>
      <w:r>
        <w:rPr>
          <w:rFonts w:eastAsia="楷体" w:cs="楷体" w:hint="eastAsia" w:ascii="楷体" w:hAnsi="楷体"/>
          <w:color w:val="333333"/>
          <w:w w:val="95"/>
          <w:sz w:val="44"/>
          <w:u w:val="none"/>
          <w:lang w:val="zh-CN"/>
        </w:rPr>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0" w:start="0" w:endChars="0" w:end="0"/>
        <w:jc w:val="center"/>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 xml:space="preserve">目  </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录</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center"/>
        <w:textAlignment w:val="auto"/>
        <w:rPr>
          <w:rFonts w:ascii="楷体_GB2312" w:hAnsi="楷体_GB2312" w:eastAsia="楷体_GB2312" w:cs="楷体_GB2312" w:hint="eastAsia"/>
          <w:color w:val="000000"/>
          <w:sz w:val="32"/>
          <w:lang w:val="zh-CN"/>
        </w:rPr>
      </w:pPr>
      <w:r>
        <w:rPr>
          <w:rFonts w:eastAsia="楷体_GB2312" w:cs="楷体_GB2312" w:hint="eastAsia" w:ascii="楷体_GB2312" w:hAnsi="楷体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start"/>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第一章  总  则</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start"/>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第二章  村庄规划</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start"/>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第三章  村庄建设</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start"/>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第四章  村庄管理</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start"/>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第五章  法律责任</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start"/>
        <w:textAlignment w:val="auto"/>
        <w:rPr>
          <w:rFonts w:ascii="宋体" w:hAnsi="宋体" w:eastAsia="宋体" w:cs="宋体" w:hint="eastAsia"/>
          <w:color w:val="000000"/>
          <w:sz w:val="32"/>
          <w:lang w:val="zh-CN"/>
        </w:rPr>
      </w:pPr>
      <w:r>
        <w:rPr>
          <w:rFonts w:ascii="楷体_GB2312" w:hAnsi="楷体_GB2312" w:cs="楷体_GB2312" w:hint="eastAsia" w:eastAsia="楷体_GB2312"/>
          <w:color w:val="000000"/>
          <w:sz w:val="32"/>
          <w:lang w:val="zh-CN"/>
        </w:rPr>
        <w:t xml:space="preserve">第六章  附  则 </w:t>
      </w:r>
    </w:p>
    <w:p>
      <w:pPr>
        <w:pStyle w:val="Normal1"/>
        <w:keepNext w:val="false"/>
        <w:keepLines w:val="false"/>
        <w:pageBreakBefore w:val="false"/>
        <w:widowControl w:val="false"/>
        <w:kinsoku w:val="true"/>
        <w:overflowPunct w:val="true"/>
        <w:autoSpaceDE w:val="false"/>
        <w:bidi w:val="0"/>
        <w:snapToGrid w:val="true"/>
        <w:spacing w:lineRule="exact" w:line="560" w:before="0" w:after="0"/>
        <w:ind w:firstLineChars="0" w:firstLine="0" w:startChars="200" w:endChars="200"/>
        <w:jc w:val="start"/>
        <w:textAlignment w:val="auto"/>
        <w:rPr>
          <w:rFonts w:ascii="宋体" w:hAnsi="宋体" w:eastAsia="宋体" w:cs="宋体" w:hint="eastAsia"/>
          <w:color w:val="000000"/>
          <w:sz w:val="32"/>
          <w:lang w:val="zh-CN"/>
        </w:rPr>
      </w:pPr>
      <w:r>
        <w:rPr>
          <w:rFonts w:eastAsia="宋体" w:cs="宋体" w:hint="eastAsia" w:ascii="宋体" w:hAnsi="宋体"/>
          <w:color w:val="000000"/>
          <w:sz w:val="32"/>
          <w:lang w:val="zh-CN"/>
        </w:rPr>
      </w:r>
    </w:p>
    <w:p>
      <w:pPr>
        <w:pStyle w:val="Normal1"/>
        <w:keepNext w:val="false"/>
        <w:keepLines w:val="false"/>
        <w:pageBreakBefore w:val="false"/>
        <w:widowControl w:val="false"/>
        <w:numPr>
          <w:ilvl w:val="0"/>
          <w:numId w:val="2"/>
        </w:numPr>
        <w:kinsoku w:val="true"/>
        <w:overflowPunct w:val="true"/>
        <w:autoSpaceDE w:val="false"/>
        <w:bidi w:val="0"/>
        <w:snapToGrid w:val="true"/>
        <w:spacing w:lineRule="exact" w:line="576"/>
        <w:ind w:firstLine="3187" w:start="0" w:end="0"/>
        <w:textAlignment w:val="auto"/>
        <w:rPr>
          <w:rFonts w:ascii="黑体" w:hAnsi="黑体" w:eastAsia="黑体" w:cs="黑体" w:hint="eastAsia"/>
          <w:sz w:val="32"/>
          <w:lang w:val="zh-CN"/>
        </w:rPr>
      </w:pPr>
      <w:r>
        <w:rPr>
          <w:rFonts w:eastAsia="黑体" w:cs="黑体" w:hint="eastAsia" w:ascii="黑体" w:hAnsi="黑体"/>
          <w:sz w:val="32"/>
        </w:rPr>
        <w:t xml:space="preserve"> </w:t>
      </w:r>
      <w:r>
        <w:rPr>
          <w:rFonts w:ascii="黑体" w:hAnsi="黑体" w:cs="黑体" w:hint="eastAsia" w:eastAsia="黑体"/>
          <w:sz w:val="32"/>
          <w:lang w:val="zh-CN"/>
        </w:rPr>
        <w:t>总</w:t>
      </w:r>
      <w:r>
        <w:rPr>
          <w:rFonts w:ascii="黑体" w:hAnsi="黑体" w:cs="黑体" w:hint="eastAsia" w:eastAsia="黑体"/>
          <w:sz w:val="32"/>
        </w:rPr>
        <w:t xml:space="preserve">  </w:t>
      </w:r>
      <w:r>
        <w:rPr>
          <w:rFonts w:ascii="黑体" w:hAnsi="黑体" w:cs="黑体" w:hint="eastAsia" w:eastAsia="黑体"/>
          <w:sz w:val="32"/>
          <w:lang w:val="zh-CN"/>
        </w:rPr>
        <w:t>则</w:t>
      </w:r>
    </w:p>
    <w:p>
      <w:pPr>
        <w:pStyle w:val="Normal1"/>
        <w:keepNext w:val="false"/>
        <w:keepLines w:val="false"/>
        <w:pageBreakBefore w:val="false"/>
        <w:widowControl w:val="false"/>
        <w:numPr>
          <w:ilvl w:val="0"/>
          <w:numId w:val="0"/>
        </w:numPr>
        <w:kinsoku w:val="true"/>
        <w:overflowPunct w:val="true"/>
        <w:autoSpaceDE w:val="false"/>
        <w:bidi w:val="0"/>
        <w:snapToGrid w:val="true"/>
        <w:spacing w:lineRule="exact" w:line="576"/>
        <w:ind w:hanging="0" w:start="0"/>
        <w:textAlignment w:val="auto"/>
        <w:rPr>
          <w:rFonts w:ascii="黑体" w:hAnsi="黑体" w:eastAsia="黑体" w:cs="黑体" w:hint="eastAsia"/>
          <w:sz w:val="32"/>
          <w:lang w:val="zh-CN"/>
        </w:rPr>
      </w:pPr>
      <w:r>
        <w:rPr>
          <w:rFonts w:eastAsia="黑体" w:cs="黑体" w:hint="eastAsia" w:ascii="黑体" w:hAnsi="黑体"/>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sz w:val="32"/>
          <w:lang w:val="zh-CN"/>
        </w:rPr>
        <w:t>第一条</w:t>
      </w:r>
      <w:r>
        <w:rPr>
          <w:rFonts w:ascii="仿宋" w:hAnsi="仿宋" w:cs="仿宋" w:hint="eastAsia" w:eastAsia="仿宋"/>
          <w:sz w:val="32"/>
          <w:lang w:val="zh-CN"/>
        </w:rPr>
        <w:t xml:space="preserve">  </w:t>
      </w:r>
      <w:r>
        <w:rPr>
          <w:rFonts w:ascii="仿宋_GB2312" w:hAnsi="仿宋_GB2312" w:cs="仿宋_GB2312" w:hint="eastAsia" w:eastAsia="仿宋_GB2312"/>
          <w:sz w:val="32"/>
          <w:lang w:val="zh-CN"/>
        </w:rPr>
        <w:t>为了加强村庄规划建设管理，改善村庄人居环境，促进城乡统筹发展，建设美丽乡村</w:t>
      </w:r>
      <w:r>
        <w:rPr>
          <w:rFonts w:eastAsia="仿宋_GB2312" w:cs="仿宋_GB2312" w:hint="eastAsia" w:ascii="仿宋_GB2312" w:hAnsi="仿宋_GB2312"/>
          <w:sz w:val="32"/>
          <w:lang w:val="zh-CN"/>
        </w:rPr>
        <w:t>,</w:t>
      </w:r>
      <w:r>
        <w:rPr>
          <w:rFonts w:ascii="仿宋_GB2312" w:hAnsi="仿宋_GB2312" w:cs="仿宋_GB2312" w:hint="eastAsia" w:eastAsia="仿宋_GB2312"/>
          <w:sz w:val="32"/>
          <w:lang w:val="zh-CN"/>
        </w:rPr>
        <w:t>根据《中华人民共和国土地管理法》、《中华人民共和国城乡规划法》、</w:t>
      </w:r>
      <w:r>
        <w:rPr>
          <w:rFonts w:ascii="仿宋_GB2312" w:hAnsi="仿宋_GB2312" w:cs="仿宋_GB2312" w:hint="eastAsia" w:eastAsia="仿宋_GB2312"/>
          <w:color w:val="000000"/>
          <w:sz w:val="32"/>
          <w:lang w:val="zh-CN"/>
        </w:rPr>
        <w:t>《</w:t>
      </w:r>
      <w:hyperlink r:id="rId2">
        <w:r>
          <w:rPr>
            <w:rStyle w:val="Hyperlink"/>
            <w:rFonts w:ascii="仿宋_GB2312" w:hAnsi="仿宋_GB2312" w:cs="仿宋_GB2312" w:hint="eastAsia" w:eastAsia="仿宋_GB2312"/>
            <w:color w:val="000000"/>
            <w:sz w:val="32"/>
            <w:lang w:val="zh-CN"/>
          </w:rPr>
          <w:t>村庄和集镇规划建设管理条例</w:t>
        </w:r>
      </w:hyperlink>
      <w:r>
        <w:rPr>
          <w:rFonts w:ascii="仿宋_GB2312" w:hAnsi="仿宋_GB2312" w:cs="仿宋_GB2312" w:hint="eastAsia" w:eastAsia="仿宋_GB2312"/>
          <w:color w:val="000000"/>
          <w:sz w:val="32"/>
          <w:lang w:val="zh-CN"/>
        </w:rPr>
        <w:t>》和《西藏自治区城乡规划条例》等法律法规，结合本市实际，制定本条例。</w:t>
      </w:r>
    </w:p>
    <w:p>
      <w:pPr>
        <w:pStyle w:val="Normal1"/>
        <w:keepNext w:val="false"/>
        <w:keepLines w:val="false"/>
        <w:pageBreakBefore w:val="false"/>
        <w:widowControl w:val="false"/>
        <w:kinsoku w:val="true"/>
        <w:overflowPunct w:val="true"/>
        <w:autoSpaceDE w:val="false"/>
        <w:bidi w:val="0"/>
        <w:snapToGrid w:val="true"/>
        <w:spacing w:lineRule="exact" w:line="576"/>
        <w:ind w:firstLine="707"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本市行政区域内制定和实施村庄规划、进行村庄建设管理活动适用本条例。</w:t>
      </w:r>
    </w:p>
    <w:p>
      <w:pPr>
        <w:pStyle w:val="Normal1"/>
        <w:keepNext w:val="false"/>
        <w:keepLines w:val="false"/>
        <w:pageBreakBefore w:val="false"/>
        <w:widowControl w:val="false"/>
        <w:kinsoku w:val="true"/>
        <w:overflowPunct w:val="true"/>
        <w:autoSpaceDE w:val="false"/>
        <w:bidi w:val="0"/>
        <w:snapToGrid w:val="true"/>
        <w:spacing w:lineRule="exact" w:line="576"/>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城市（镇）规划建设用地范围内村庄的规划建设管理活动，</w:t>
      </w:r>
      <w:hyperlink r:id="rId3">
        <w:r>
          <w:rPr>
            <w:rStyle w:val="Hyperlink"/>
            <w:rFonts w:ascii="仿宋_GB2312" w:hAnsi="仿宋_GB2312" w:cs="仿宋_GB2312" w:hint="eastAsia" w:eastAsia="仿宋_GB2312"/>
            <w:color w:val="000000"/>
            <w:sz w:val="32"/>
            <w:lang w:val="zh-CN"/>
          </w:rPr>
          <w:t>法律法规</w:t>
        </w:r>
      </w:hyperlink>
      <w:r>
        <w:rPr>
          <w:rFonts w:ascii="仿宋_GB2312" w:hAnsi="仿宋_GB2312" w:cs="仿宋_GB2312" w:hint="eastAsia" w:eastAsia="仿宋_GB2312"/>
          <w:color w:val="000000"/>
          <w:sz w:val="32"/>
          <w:lang w:val="zh-CN"/>
        </w:rPr>
        <w:t>另有规定的，从其规定。</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本条例所称村庄是指农牧民居住和从事生产活动的聚居点。</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村庄规划建设管理应当按照实施乡村振兴战略的总要求，遵循以人为本、因地制宜、县域统筹、生态优先的原则，实现村庄产业兴旺、生态宜居、乡风文明、治理有效、生活富裕。</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第五条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市、县（区）人民政府负责本行政区域内村庄规划建设管理的政策制定和统筹协调。乡（镇）人民政府负责组织编制本行政区域内的村庄规划，具体指导村庄建设管理工作。</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市、县（区）城乡规划主管部门负责本行政区域内村庄规划工作，住房和城乡建设主管部门负责本行政区域内村庄建设工作。</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国土资源、农牧、发展和改革、财政、交通、水利、文化、环境保护等有关部门按照各自的职责，共同做好村庄规划、建设和管理的相关工作。</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村民委员会应当协助乡（镇）人民政府做好村庄规划建设管理工作，组织和引导农牧民管理村庄规划建设具体事务。</w:t>
      </w:r>
    </w:p>
    <w:p>
      <w:pPr>
        <w:pStyle w:val="Normal1"/>
        <w:keepNext w:val="false"/>
        <w:keepLines w:val="false"/>
        <w:pageBreakBefore w:val="false"/>
        <w:widowControl w:val="false"/>
        <w:numPr>
          <w:ilvl w:val="0"/>
          <w:numId w:val="1"/>
        </w:numPr>
        <w:kinsoku w:val="true"/>
        <w:overflowPunct w:val="true"/>
        <w:autoSpaceDE w:val="false"/>
        <w:bidi w:val="0"/>
        <w:snapToGrid w:val="true"/>
        <w:spacing w:lineRule="exact" w:line="576"/>
        <w:ind w:firstLine="672" w:start="0" w:end="0"/>
        <w:jc w:val="both"/>
        <w:textAlignment w:val="auto"/>
        <w:rPr>
          <w:rFonts w:ascii="宋体" w:hAnsi="宋体" w:eastAsia="宋体" w:cs="宋体"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市、县（区）人民政府应当将村庄规划编制管理所需经费纳入本级财政预算。</w:t>
      </w:r>
    </w:p>
    <w:p>
      <w:pPr>
        <w:pStyle w:val="Normal1"/>
        <w:keepNext w:val="false"/>
        <w:keepLines w:val="false"/>
        <w:pageBreakBefore w:val="false"/>
        <w:widowControl w:val="false"/>
        <w:numPr>
          <w:ilvl w:val="0"/>
          <w:numId w:val="0"/>
        </w:numPr>
        <w:kinsoku w:val="true"/>
        <w:overflowPunct w:val="true"/>
        <w:autoSpaceDE w:val="false"/>
        <w:bidi w:val="0"/>
        <w:snapToGrid w:val="true"/>
        <w:spacing w:lineRule="exact" w:line="576"/>
        <w:ind w:hanging="0" w:start="0"/>
        <w:jc w:val="both"/>
        <w:textAlignment w:val="auto"/>
        <w:rPr>
          <w:rFonts w:ascii="宋体" w:hAnsi="宋体" w:eastAsia="宋体" w:cs="宋体" w:hint="eastAsia"/>
          <w:color w:val="000000"/>
          <w:sz w:val="32"/>
          <w:lang w:val="zh-CN"/>
        </w:rPr>
      </w:pPr>
      <w:r>
        <w:rPr>
          <w:rFonts w:eastAsia="宋体" w:cs="宋体" w:hint="eastAsia" w:ascii="宋体" w:hAnsi="宋体"/>
          <w:color w:val="000000"/>
          <w:sz w:val="32"/>
          <w:lang w:val="zh-CN"/>
        </w:rPr>
      </w:r>
    </w:p>
    <w:p>
      <w:pPr>
        <w:pStyle w:val="Normal1"/>
        <w:keepNext w:val="false"/>
        <w:keepLines w:val="false"/>
        <w:pageBreakBefore w:val="false"/>
        <w:widowControl w:val="false"/>
        <w:numPr>
          <w:ilvl w:val="0"/>
          <w:numId w:val="2"/>
        </w:numPr>
        <w:kinsoku w:val="true"/>
        <w:overflowPunct w:val="true"/>
        <w:autoSpaceDE w:val="false"/>
        <w:bidi w:val="0"/>
        <w:snapToGrid w:val="true"/>
        <w:spacing w:lineRule="exact" w:line="576"/>
        <w:ind w:firstLineChars="0" w:firstLine="0" w:startChars="0" w:start="0" w:endChars="0" w:end="0"/>
        <w:jc w:val="start"/>
        <w:textAlignment w:val="auto"/>
        <w:rPr>
          <w:rFonts w:ascii="黑体" w:hAnsi="黑体" w:eastAsia="黑体" w:cs="黑体" w:hint="eastAsia"/>
          <w:color w:val="000000"/>
          <w:sz w:val="32"/>
          <w:lang w:val="zh-CN"/>
        </w:rPr>
      </w:pPr>
      <w:r>
        <w:rPr>
          <w:rFonts w:eastAsia="黑体" w:cs="黑体" w:hint="eastAsia" w:ascii="黑体" w:hAnsi="黑体"/>
          <w:color w:val="000000"/>
          <w:sz w:val="32"/>
          <w:lang w:val="zh-CN"/>
        </w:rPr>
        <w:t xml:space="preserve"> </w:t>
      </w:r>
      <w:r>
        <w:rPr>
          <w:rFonts w:ascii="黑体" w:hAnsi="黑体" w:cs="黑体" w:hint="eastAsia" w:eastAsia="黑体"/>
          <w:color w:val="000000"/>
          <w:sz w:val="32"/>
          <w:lang w:val="zh-CN"/>
        </w:rPr>
        <w:t>村庄规划</w:t>
      </w:r>
    </w:p>
    <w:p>
      <w:pPr>
        <w:pStyle w:val="Normal1"/>
        <w:keepNext w:val="false"/>
        <w:keepLines w:val="false"/>
        <w:pageBreakBefore w:val="false"/>
        <w:widowControl w:val="false"/>
        <w:numPr>
          <w:ilvl w:val="0"/>
          <w:numId w:val="0"/>
        </w:numPr>
        <w:kinsoku w:val="true"/>
        <w:overflowPunct w:val="true"/>
        <w:autoSpaceDE w:val="false"/>
        <w:bidi w:val="0"/>
        <w:snapToGrid w:val="true"/>
        <w:spacing w:lineRule="exact" w:line="576"/>
        <w:ind w:hanging="0" w:start="0"/>
        <w:jc w:val="both"/>
        <w:textAlignment w:val="auto"/>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150"/>
        <w:ind w:firstLine="480" w:end="0"/>
        <w:jc w:val="both"/>
        <w:textAlignment w:val="auto"/>
        <w:rPr>
          <w:rFonts w:ascii="仿宋_GB2312" w:hAnsi="仿宋_GB2312" w:eastAsia="仿宋_GB2312" w:cs="仿宋_GB2312" w:hint="eastAsia"/>
          <w:color w:val="000000"/>
          <w:sz w:val="32"/>
          <w:highlight w:val="white"/>
          <w:lang w:val="zh-CN"/>
        </w:rPr>
      </w:pPr>
      <w:r>
        <w:rPr>
          <w:rFonts w:ascii="黑体" w:hAnsi="黑体" w:cs="黑体" w:hint="eastAsia" w:eastAsia="黑体"/>
          <w:color w:val="000000"/>
          <w:sz w:val="32"/>
          <w:highlight w:val="white"/>
          <w:lang w:val="zh-CN"/>
        </w:rPr>
        <w:t xml:space="preserve">第七条  </w:t>
      </w:r>
      <w:r>
        <w:rPr>
          <w:rFonts w:ascii="仿宋_GB2312" w:hAnsi="仿宋_GB2312" w:cs="仿宋_GB2312" w:hint="eastAsia" w:eastAsia="仿宋_GB2312"/>
          <w:color w:val="000000"/>
          <w:sz w:val="32"/>
          <w:highlight w:val="white"/>
          <w:lang w:val="zh-CN"/>
        </w:rPr>
        <w:t>村庄规划的编制，应当遵循下列原则</w:t>
      </w:r>
      <w:r>
        <w:rPr>
          <w:rFonts w:eastAsia="仿宋_GB2312" w:cs="仿宋_GB2312" w:hint="eastAsia" w:ascii="仿宋_GB2312" w:hAnsi="仿宋_GB2312"/>
          <w:color w:val="000000"/>
          <w:sz w:val="32"/>
          <w:highlight w:val="white"/>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before="0" w:after="150"/>
        <w:ind w:firstLine="640" w:end="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（一）根据国民经济和社会发展计划，结合经济发展的现状和要求，以及自然环境、资源条件和历史情况等，统筹兼顾，综合部署村庄的各项建设</w:t>
      </w:r>
      <w:r>
        <w:rPr>
          <w:rFonts w:eastAsia="仿宋_GB2312" w:cs="仿宋_GB2312" w:hint="eastAsia" w:ascii="仿宋_GB2312" w:hAnsi="仿宋_GB2312"/>
          <w:color w:val="000000"/>
          <w:sz w:val="32"/>
          <w:highlight w:val="white"/>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before="0" w:after="150"/>
        <w:ind w:firstLine="640" w:end="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（二）处理好近期建设与远景发展、改造与新建的关系，使村庄的性质和建设的规模、速度和标准，同经济发展和农牧民生活水平相适应</w:t>
      </w:r>
      <w:r>
        <w:rPr>
          <w:rFonts w:eastAsia="仿宋_GB2312" w:cs="仿宋_GB2312" w:hint="eastAsia" w:ascii="仿宋_GB2312" w:hAnsi="仿宋_GB2312"/>
          <w:color w:val="000000"/>
          <w:sz w:val="32"/>
          <w:highlight w:val="white"/>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before="0" w:after="150"/>
        <w:ind w:firstLine="640" w:end="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（三）合理用地，节约用地，各项建设应当相对集中，充分利用原有建设用地，新建、扩建工程及住宅尽量不占用耕地和林地</w:t>
      </w:r>
      <w:r>
        <w:rPr>
          <w:rFonts w:eastAsia="仿宋_GB2312" w:cs="仿宋_GB2312" w:hint="eastAsia" w:ascii="仿宋_GB2312" w:hAnsi="仿宋_GB2312"/>
          <w:color w:val="000000"/>
          <w:sz w:val="32"/>
          <w:highlight w:val="white"/>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before="0" w:after="150"/>
        <w:ind w:firstLine="640" w:end="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（四）有利生产，方便生活，合理安排住宅、村企业、村公共设施和公益事业等的建设布局，促进农村各项事业协调发展</w:t>
      </w:r>
      <w:r>
        <w:rPr>
          <w:rFonts w:eastAsia="仿宋_GB2312" w:cs="仿宋_GB2312" w:hint="eastAsia" w:ascii="仿宋_GB2312" w:hAnsi="仿宋_GB2312"/>
          <w:color w:val="000000"/>
          <w:sz w:val="32"/>
          <w:highlight w:val="white"/>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before="0" w:after="150"/>
        <w:ind w:firstLine="640" w:end="0"/>
        <w:jc w:val="both"/>
        <w:textAlignment w:val="auto"/>
        <w:rPr>
          <w:rFonts w:ascii="黑体" w:hAnsi="黑体" w:eastAsia="黑体" w:cs="黑体" w:hint="eastAsia"/>
          <w:color w:val="000000"/>
          <w:sz w:val="32"/>
          <w:highlight w:val="white"/>
          <w:lang w:val="zh-CN"/>
        </w:rPr>
      </w:pPr>
      <w:r>
        <w:rPr>
          <w:rFonts w:ascii="仿宋_GB2312" w:hAnsi="仿宋_GB2312" w:cs="仿宋_GB2312" w:hint="eastAsia" w:eastAsia="仿宋_GB2312"/>
          <w:color w:val="000000"/>
          <w:sz w:val="32"/>
          <w:highlight w:val="white"/>
          <w:lang w:val="zh-CN"/>
        </w:rPr>
        <w:t>（五）保护和改善生态环境，防治污染和其他公害，加强绿化和村容村貌、环境卫生建设</w:t>
      </w:r>
      <w:r>
        <w:rPr>
          <w:rFonts w:ascii="仿宋" w:hAnsi="仿宋" w:cs="仿宋" w:hint="eastAsia" w:eastAsia="仿宋"/>
          <w:color w:val="000000"/>
          <w:sz w:val="32"/>
          <w:highlight w:val="white"/>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jc w:val="both"/>
        <w:textAlignment w:val="auto"/>
        <w:rPr>
          <w:rFonts w:ascii="仿宋_GB2312" w:hAnsi="仿宋_GB2312" w:eastAsia="仿宋_GB2312" w:cs="仿宋_GB2312" w:hint="eastAsia"/>
          <w:color w:val="000000"/>
          <w:sz w:val="32"/>
          <w:lang w:val="zh-CN"/>
        </w:rPr>
      </w:pPr>
      <w:r>
        <w:rPr>
          <w:rFonts w:eastAsia="黑体" w:cs="黑体" w:hint="eastAsia" w:ascii="黑体" w:hAnsi="黑体"/>
          <w:color w:val="000000"/>
          <w:sz w:val="32"/>
          <w:lang w:val="zh-CN"/>
        </w:rPr>
        <w:t xml:space="preserve">    </w:t>
      </w:r>
      <w:r>
        <w:rPr>
          <w:rFonts w:ascii="黑体" w:hAnsi="黑体" w:cs="黑体" w:hint="eastAsia" w:eastAsia="黑体"/>
          <w:color w:val="000000"/>
          <w:sz w:val="32"/>
          <w:lang w:val="zh-CN"/>
        </w:rPr>
        <w:t>第八条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编制村庄规划应当符合国民经济和社会发展规划、乡（镇）总体规划，与土地利用总体规划及其他相关专项规划相衔接，保持和延续传统格局和历史风貌，体现民族文化特色。</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第九条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村庄规划包括村域总体规划、村庄建设规划和村容村貌整治规划，规划期限一般为</w:t>
      </w:r>
      <w:r>
        <w:rPr>
          <w:rFonts w:eastAsia="仿宋_GB2312" w:cs="仿宋_GB2312" w:hint="eastAsia" w:ascii="仿宋_GB2312" w:hAnsi="仿宋_GB2312"/>
          <w:color w:val="000000"/>
          <w:sz w:val="32"/>
          <w:lang w:val="zh-CN"/>
        </w:rPr>
        <w:t>10-20</w:t>
      </w:r>
      <w:r>
        <w:rPr>
          <w:rFonts w:ascii="仿宋_GB2312" w:hAnsi="仿宋_GB2312" w:cs="仿宋_GB2312" w:hint="eastAsia" w:eastAsia="仿宋_GB2312"/>
          <w:color w:val="000000"/>
          <w:sz w:val="32"/>
          <w:lang w:val="zh-CN"/>
        </w:rPr>
        <w:t>年。</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村域总体规划应当明确发展目标，划定已建区、适建区、限建区和禁建区，对产业发展、村庄布点、基础设施、公共服务设施布局，防灾减灾措施，历史文化与景观风貌进行统筹安排。</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村庄建设规划应当划定建设用地范围、规划居住、公共设施等各类建设用地的空间布局，对市政基础设施、绿化、环境卫生以及生产配套设施作出具体安排。</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村容村貌整治规划应当明确整治的范围、重点、时序以及资金来源。</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编制村庄规划应当尊重农牧民意愿，充分征求农牧民意见，在村庄显著位置公示规划总平面图和相关内容，公示时间不得少于</w:t>
      </w:r>
      <w:r>
        <w:rPr>
          <w:rFonts w:eastAsia="仿宋_GB2312" w:cs="仿宋_GB2312" w:hint="eastAsia" w:ascii="仿宋_GB2312" w:hAnsi="仿宋_GB2312"/>
          <w:color w:val="000000"/>
          <w:sz w:val="32"/>
          <w:lang w:val="zh-CN"/>
        </w:rPr>
        <w:t>30</w:t>
      </w:r>
      <w:r>
        <w:rPr>
          <w:rFonts w:ascii="仿宋_GB2312" w:hAnsi="仿宋_GB2312" w:cs="仿宋_GB2312" w:hint="eastAsia" w:eastAsia="仿宋_GB2312"/>
          <w:color w:val="000000"/>
          <w:sz w:val="32"/>
          <w:lang w:val="zh-CN"/>
        </w:rPr>
        <w:t>日。</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村庄规划应当在公示结束后，经村民会议或者村民代表会议讨论同意，经乡（镇）人民代表大会审查同意，由乡（镇）人民政府报县（区）人民政府审批，村庄规划批准后，乡（镇）人民政府应当在</w:t>
      </w:r>
      <w:r>
        <w:rPr>
          <w:rFonts w:eastAsia="仿宋_GB2312" w:cs="仿宋_GB2312" w:hint="eastAsia" w:ascii="仿宋_GB2312" w:hAnsi="仿宋_GB2312"/>
          <w:color w:val="000000"/>
          <w:sz w:val="32"/>
          <w:lang w:val="zh-CN"/>
        </w:rPr>
        <w:t>20</w:t>
      </w:r>
      <w:r>
        <w:rPr>
          <w:rFonts w:ascii="仿宋_GB2312" w:hAnsi="仿宋_GB2312" w:cs="仿宋_GB2312" w:hint="eastAsia" w:eastAsia="仿宋_GB2312"/>
          <w:color w:val="000000"/>
          <w:sz w:val="32"/>
          <w:lang w:val="zh-CN"/>
        </w:rPr>
        <w:t>个工作日内公布。</w:t>
      </w:r>
    </w:p>
    <w:p>
      <w:pPr>
        <w:pStyle w:val="Normal1"/>
        <w:keepNext w:val="false"/>
        <w:keepLines w:val="false"/>
        <w:pageBreakBefore w:val="false"/>
        <w:widowControl w:val="false"/>
        <w:kinsoku w:val="true"/>
        <w:overflowPunct w:val="true"/>
        <w:autoSpaceDE w:val="false"/>
        <w:bidi w:val="0"/>
        <w:snapToGrid w:val="true"/>
        <w:spacing w:lineRule="exact" w:line="576"/>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　　因经济社会发展需要，村庄规划确需修改的，应当按照有关程序重新报批并且公布。</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 xml:space="preserve">第三章 </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村庄建设</w:t>
      </w:r>
    </w:p>
    <w:p>
      <w:pPr>
        <w:pStyle w:val="Normal1"/>
        <w:keepNext w:val="false"/>
        <w:keepLines w:val="false"/>
        <w:pageBreakBefore w:val="false"/>
        <w:widowControl w:val="false"/>
        <w:kinsoku w:val="true"/>
        <w:overflowPunct w:val="true"/>
        <w:autoSpaceDE w:val="false"/>
        <w:bidi w:val="0"/>
        <w:snapToGrid w:val="true"/>
        <w:spacing w:lineRule="exact" w:line="576"/>
        <w:ind w:firstLine="707" w:end="0"/>
        <w:jc w:val="both"/>
        <w:textAlignment w:val="auto"/>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ind w:firstLine="707"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第十一条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村庄建设应当遵循先规划后建设的原则，县（区）人民政府应当加强对村庄建设的指导，鼓励适度集中建设农牧民住宅。</w:t>
      </w:r>
    </w:p>
    <w:p>
      <w:pPr>
        <w:pStyle w:val="Normal1"/>
        <w:keepNext w:val="false"/>
        <w:keepLines w:val="false"/>
        <w:pageBreakBefore w:val="false"/>
        <w:widowControl w:val="false"/>
        <w:kinsoku w:val="true"/>
        <w:overflowPunct w:val="true"/>
        <w:autoSpaceDE w:val="false"/>
        <w:bidi w:val="0"/>
        <w:snapToGrid w:val="true"/>
        <w:spacing w:lineRule="exact" w:line="576"/>
        <w:ind w:firstLine="707"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各级人民政府应当加大对村庄基础设施、公共服务设施、安全设施以及公益事业建设的投入，促进村庄建设整体发展。</w:t>
      </w:r>
    </w:p>
    <w:p>
      <w:pPr>
        <w:pStyle w:val="Normal1"/>
        <w:keepNext w:val="false"/>
        <w:keepLines w:val="false"/>
        <w:pageBreakBefore w:val="false"/>
        <w:widowControl w:val="false"/>
        <w:kinsoku w:val="true"/>
        <w:overflowPunct w:val="true"/>
        <w:autoSpaceDE w:val="false"/>
        <w:bidi w:val="0"/>
        <w:snapToGrid w:val="true"/>
        <w:spacing w:lineRule="exact" w:line="576"/>
        <w:ind w:firstLine="707"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第十二条 </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村庄建设应当因地制宜、集约节约用地，尊重农牧民意愿，优先使用原有住宅用地、空闲地、荒地，科学合理布局，方便农牧民生产生活。</w:t>
      </w:r>
    </w:p>
    <w:p>
      <w:pPr>
        <w:pStyle w:val="Normal1"/>
        <w:keepNext w:val="false"/>
        <w:keepLines w:val="false"/>
        <w:pageBreakBefore w:val="false"/>
        <w:widowControl w:val="false"/>
        <w:kinsoku w:val="true"/>
        <w:overflowPunct w:val="true"/>
        <w:autoSpaceDE w:val="false"/>
        <w:bidi w:val="0"/>
        <w:snapToGrid w:val="true"/>
        <w:spacing w:lineRule="exact" w:line="576"/>
        <w:ind w:firstLine="707"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鼓励村庄建设采用节能环保的新技术、新材料、新工艺、新设备，不得使用国家明令禁止的材料、设备和技术。</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第十三条 </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highlight w:val="white"/>
          <w:lang w:val="zh-CN"/>
        </w:rPr>
        <w:t>县（区）人民政府住房和城乡建设主管部门应当无偿提供</w:t>
      </w:r>
      <w:r>
        <w:rPr>
          <w:rFonts w:eastAsia="仿宋_GB2312" w:cs="仿宋_GB2312" w:hint="eastAsia" w:ascii="仿宋_GB2312" w:hAnsi="仿宋_GB2312"/>
          <w:color w:val="000000"/>
          <w:sz w:val="32"/>
          <w:highlight w:val="white"/>
          <w:lang w:val="zh-CN"/>
        </w:rPr>
        <w:t>2</w:t>
      </w:r>
      <w:r>
        <w:rPr>
          <w:rFonts w:ascii="仿宋_GB2312" w:hAnsi="仿宋_GB2312" w:cs="仿宋_GB2312" w:hint="eastAsia" w:eastAsia="仿宋_GB2312"/>
          <w:color w:val="000000"/>
          <w:sz w:val="32"/>
          <w:highlight w:val="white"/>
          <w:lang w:val="zh-CN"/>
        </w:rPr>
        <w:t>幅以上具有民族特色和地域风格的</w:t>
      </w:r>
      <w:r>
        <w:rPr>
          <w:rFonts w:ascii="仿宋_GB2312" w:hAnsi="仿宋_GB2312" w:cs="仿宋_GB2312" w:hint="eastAsia" w:eastAsia="仿宋_GB2312"/>
          <w:color w:val="000000"/>
          <w:sz w:val="32"/>
          <w:lang w:val="zh-CN"/>
        </w:rPr>
        <w:t>住宅选型图，农牧民自行设计住宅图的，应当符合村庄规划要求。</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第十四条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农牧民住房建设选址应当避让下列区域：</w:t>
      </w:r>
    </w:p>
    <w:p>
      <w:pPr>
        <w:pStyle w:val="Normal1"/>
        <w:keepNext w:val="false"/>
        <w:keepLines w:val="false"/>
        <w:pageBreakBefore w:val="false"/>
        <w:widowControl w:val="false"/>
        <w:tabs>
          <w:tab w:val="clear" w:pos="420"/>
          <w:tab w:val="left" w:pos="709" w:leader="none"/>
          <w:tab w:val="left" w:pos="851" w:leader="none"/>
        </w:tabs>
        <w:kinsoku w:val="true"/>
        <w:overflowPunct w:val="true"/>
        <w:autoSpaceDE w:val="false"/>
        <w:bidi w:val="0"/>
        <w:snapToGrid w:val="true"/>
        <w:spacing w:lineRule="exact" w:line="576" w:before="120" w:after="50"/>
        <w:ind w:firstLine="640" w:end="0"/>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（一）地震断裂带；</w:t>
      </w:r>
    </w:p>
    <w:p>
      <w:pPr>
        <w:pStyle w:val="Normal1"/>
        <w:keepNext w:val="false"/>
        <w:keepLines w:val="false"/>
        <w:pageBreakBefore w:val="false"/>
        <w:widowControl w:val="false"/>
        <w:tabs>
          <w:tab w:val="clear" w:pos="420"/>
          <w:tab w:val="left" w:pos="709" w:leader="none"/>
          <w:tab w:val="left" w:pos="851" w:leader="none"/>
        </w:tabs>
        <w:kinsoku w:val="true"/>
        <w:overflowPunct w:val="true"/>
        <w:autoSpaceDE w:val="false"/>
        <w:bidi w:val="0"/>
        <w:snapToGrid w:val="true"/>
        <w:spacing w:lineRule="exact" w:line="576" w:before="120" w:after="50"/>
        <w:ind w:firstLine="640" w:end="0"/>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（二）地质灾害隐患区、山洪灾害危险区</w:t>
      </w:r>
      <w:r>
        <w:rPr>
          <w:rFonts w:eastAsia="仿宋_GB2312" w:cs="仿宋_GB2312" w:hint="eastAsia" w:ascii="仿宋_GB2312" w:hAnsi="仿宋_GB2312"/>
          <w:color w:val="000000"/>
          <w:sz w:val="32"/>
          <w:highlight w:val="white"/>
          <w:lang w:val="zh-CN"/>
        </w:rPr>
        <w:t xml:space="preserve">; </w:t>
      </w:r>
    </w:p>
    <w:p>
      <w:pPr>
        <w:pStyle w:val="Normal1"/>
        <w:keepNext w:val="false"/>
        <w:keepLines w:val="false"/>
        <w:pageBreakBefore w:val="false"/>
        <w:widowControl w:val="false"/>
        <w:tabs>
          <w:tab w:val="clear" w:pos="420"/>
          <w:tab w:val="left" w:pos="709" w:leader="none"/>
          <w:tab w:val="left" w:pos="851" w:leader="none"/>
        </w:tabs>
        <w:kinsoku w:val="true"/>
        <w:overflowPunct w:val="true"/>
        <w:autoSpaceDE w:val="false"/>
        <w:bidi w:val="0"/>
        <w:snapToGrid w:val="true"/>
        <w:spacing w:lineRule="exact" w:line="576" w:before="120" w:after="50"/>
        <w:ind w:firstLine="640" w:end="0"/>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（三）行洪通道、消防通道；</w:t>
      </w:r>
    </w:p>
    <w:p>
      <w:pPr>
        <w:pStyle w:val="Normal1"/>
        <w:keepNext w:val="false"/>
        <w:keepLines w:val="false"/>
        <w:pageBreakBefore w:val="false"/>
        <w:widowControl w:val="false"/>
        <w:tabs>
          <w:tab w:val="clear" w:pos="420"/>
          <w:tab w:val="left" w:pos="709" w:leader="none"/>
        </w:tabs>
        <w:kinsoku w:val="true"/>
        <w:overflowPunct w:val="true"/>
        <w:autoSpaceDE w:val="false"/>
        <w:bidi w:val="0"/>
        <w:snapToGrid w:val="true"/>
        <w:spacing w:lineRule="exact" w:line="576" w:before="120" w:after="50"/>
        <w:ind w:firstLine="640" w:end="0"/>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（四）地下输油、输气管道保护范围</w:t>
      </w:r>
      <w:r>
        <w:rPr>
          <w:rFonts w:eastAsia="仿宋_GB2312" w:cs="仿宋_GB2312" w:hint="eastAsia" w:ascii="仿宋_GB2312" w:hAnsi="仿宋_GB2312"/>
          <w:color w:val="000000"/>
          <w:sz w:val="32"/>
          <w:highlight w:val="white"/>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before="120" w:after="50"/>
        <w:ind w:firstLine="640" w:end="0"/>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（五）地下电缆、光缆通道保护范围</w:t>
      </w:r>
      <w:r>
        <w:rPr>
          <w:rFonts w:eastAsia="仿宋_GB2312" w:cs="仿宋_GB2312" w:hint="eastAsia" w:ascii="仿宋_GB2312" w:hAnsi="仿宋_GB2312"/>
          <w:color w:val="000000"/>
          <w:sz w:val="32"/>
          <w:highlight w:val="white"/>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before="120" w:after="50"/>
        <w:ind w:firstLine="640" w:end="0"/>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（六）自然保护区、风景名胜区及历史文化保护区的核心区域；</w:t>
      </w:r>
    </w:p>
    <w:p>
      <w:pPr>
        <w:pStyle w:val="Normal1"/>
        <w:keepNext w:val="false"/>
        <w:keepLines w:val="false"/>
        <w:pageBreakBefore w:val="false"/>
        <w:widowControl w:val="false"/>
        <w:kinsoku w:val="true"/>
        <w:overflowPunct w:val="true"/>
        <w:autoSpaceDE w:val="false"/>
        <w:bidi w:val="0"/>
        <w:snapToGrid w:val="true"/>
        <w:spacing w:lineRule="exact" w:line="576" w:before="120" w:after="50"/>
        <w:ind w:firstLine="640" w:end="0"/>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（七）其他应当避让的区域。</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第十五条 </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农牧民新建住房应当按照村庄规划进行，实行一户一宅、退旧换新原则；一户已有宅基地的，在取得新宅基地使用权前，应当与村委会签订退还原有宅基地协议。</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第十六条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 xml:space="preserve"> 农牧民宅基地面积应当按照下列标准执行：</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（一）占用耕地</w:t>
      </w:r>
    </w:p>
    <w:p>
      <w:pPr>
        <w:pStyle w:val="Normal1"/>
        <w:keepNext w:val="false"/>
        <w:keepLines w:val="false"/>
        <w:pageBreakBefore w:val="false"/>
        <w:widowControl w:val="false"/>
        <w:kinsoku w:val="true"/>
        <w:overflowPunct w:val="true"/>
        <w:autoSpaceDE w:val="false"/>
        <w:bidi w:val="0"/>
        <w:snapToGrid w:val="true"/>
        <w:spacing w:lineRule="exact" w:line="576"/>
        <w:ind w:firstLine="48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人均耕地</w:t>
      </w:r>
      <w:r>
        <w:rPr>
          <w:rFonts w:eastAsia="仿宋_GB2312" w:cs="仿宋_GB2312" w:hint="eastAsia" w:ascii="仿宋_GB2312" w:hAnsi="仿宋_GB2312"/>
          <w:color w:val="000000"/>
          <w:sz w:val="32"/>
          <w:lang w:val="zh-CN"/>
        </w:rPr>
        <w:t>1.5</w:t>
      </w:r>
      <w:r>
        <w:rPr>
          <w:rFonts w:ascii="仿宋_GB2312" w:hAnsi="仿宋_GB2312" w:cs="仿宋_GB2312" w:hint="eastAsia" w:eastAsia="仿宋_GB2312"/>
          <w:color w:val="000000"/>
          <w:sz w:val="32"/>
          <w:lang w:val="zh-CN"/>
        </w:rPr>
        <w:t>亩以下的，禁止占用耕地建造住宅。确无荒地的，由当地政府采取搬迁等其他途径予以解决；</w:t>
      </w:r>
    </w:p>
    <w:p>
      <w:pPr>
        <w:pStyle w:val="Normal1"/>
        <w:keepNext w:val="false"/>
        <w:keepLines w:val="false"/>
        <w:pageBreakBefore w:val="false"/>
        <w:widowControl w:val="false"/>
        <w:kinsoku w:val="true"/>
        <w:overflowPunct w:val="true"/>
        <w:autoSpaceDE w:val="false"/>
        <w:bidi w:val="0"/>
        <w:snapToGrid w:val="true"/>
        <w:spacing w:lineRule="exact" w:line="576"/>
        <w:ind w:firstLine="48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人均耕地超过</w:t>
      </w:r>
      <w:r>
        <w:rPr>
          <w:rFonts w:eastAsia="仿宋_GB2312" w:cs="仿宋_GB2312" w:hint="eastAsia" w:ascii="仿宋_GB2312" w:hAnsi="仿宋_GB2312"/>
          <w:color w:val="000000"/>
          <w:sz w:val="32"/>
          <w:lang w:val="zh-CN"/>
        </w:rPr>
        <w:t>1.5</w:t>
      </w:r>
      <w:r>
        <w:rPr>
          <w:rFonts w:ascii="仿宋_GB2312" w:hAnsi="仿宋_GB2312" w:cs="仿宋_GB2312" w:hint="eastAsia" w:eastAsia="仿宋_GB2312"/>
          <w:color w:val="000000"/>
          <w:sz w:val="32"/>
          <w:lang w:val="zh-CN"/>
        </w:rPr>
        <w:t>亩但在</w:t>
      </w:r>
      <w:r>
        <w:rPr>
          <w:rFonts w:eastAsia="仿宋_GB2312" w:cs="仿宋_GB2312" w:hint="eastAsia" w:ascii="仿宋_GB2312" w:hAnsi="仿宋_GB2312"/>
          <w:color w:val="000000"/>
          <w:sz w:val="32"/>
          <w:lang w:val="zh-CN"/>
        </w:rPr>
        <w:t>3</w:t>
      </w:r>
      <w:r>
        <w:rPr>
          <w:rFonts w:ascii="仿宋_GB2312" w:hAnsi="仿宋_GB2312" w:cs="仿宋_GB2312" w:hint="eastAsia" w:eastAsia="仿宋_GB2312"/>
          <w:color w:val="000000"/>
          <w:sz w:val="32"/>
          <w:lang w:val="zh-CN"/>
        </w:rPr>
        <w:t>亩以下的，每户宅基地不得超过</w:t>
      </w:r>
      <w:r>
        <w:rPr>
          <w:rFonts w:eastAsia="仿宋_GB2312" w:cs="仿宋_GB2312" w:hint="eastAsia" w:ascii="仿宋_GB2312" w:hAnsi="仿宋_GB2312"/>
          <w:color w:val="000000"/>
          <w:sz w:val="32"/>
          <w:lang w:val="zh-CN"/>
        </w:rPr>
        <w:t>300</w:t>
      </w:r>
      <w:r>
        <w:rPr>
          <w:rFonts w:ascii="仿宋_GB2312" w:hAnsi="仿宋_GB2312" w:cs="仿宋_GB2312" w:hint="eastAsia" w:eastAsia="仿宋_GB2312"/>
          <w:color w:val="000000"/>
          <w:sz w:val="32"/>
          <w:lang w:val="zh-CN"/>
        </w:rPr>
        <w:t>平方米；人均耕地超过</w:t>
      </w:r>
      <w:r>
        <w:rPr>
          <w:rFonts w:eastAsia="仿宋_GB2312" w:cs="仿宋_GB2312" w:hint="eastAsia" w:ascii="仿宋_GB2312" w:hAnsi="仿宋_GB2312"/>
          <w:color w:val="000000"/>
          <w:sz w:val="32"/>
          <w:lang w:val="zh-CN"/>
        </w:rPr>
        <w:t>3</w:t>
      </w:r>
      <w:r>
        <w:rPr>
          <w:rFonts w:ascii="仿宋_GB2312" w:hAnsi="仿宋_GB2312" w:cs="仿宋_GB2312" w:hint="eastAsia" w:eastAsia="仿宋_GB2312"/>
          <w:color w:val="000000"/>
          <w:sz w:val="32"/>
          <w:lang w:val="zh-CN"/>
        </w:rPr>
        <w:t>亩的，每户宅基地不得超过</w:t>
      </w:r>
      <w:r>
        <w:rPr>
          <w:rFonts w:eastAsia="仿宋_GB2312" w:cs="仿宋_GB2312" w:hint="eastAsia" w:ascii="仿宋_GB2312" w:hAnsi="仿宋_GB2312"/>
          <w:color w:val="000000"/>
          <w:sz w:val="32"/>
          <w:lang w:val="zh-CN"/>
        </w:rPr>
        <w:t>350</w:t>
      </w:r>
      <w:r>
        <w:rPr>
          <w:rFonts w:ascii="仿宋_GB2312" w:hAnsi="仿宋_GB2312" w:cs="仿宋_GB2312" w:hint="eastAsia" w:eastAsia="仿宋_GB2312"/>
          <w:color w:val="000000"/>
          <w:sz w:val="32"/>
          <w:lang w:val="zh-CN"/>
        </w:rPr>
        <w:t>平方米。</w:t>
      </w:r>
    </w:p>
    <w:p>
      <w:pPr>
        <w:pStyle w:val="Normal1"/>
        <w:keepNext w:val="false"/>
        <w:keepLines w:val="false"/>
        <w:pageBreakBefore w:val="false"/>
        <w:widowControl w:val="false"/>
        <w:kinsoku w:val="true"/>
        <w:overflowPunct w:val="true"/>
        <w:autoSpaceDE w:val="false"/>
        <w:bidi w:val="0"/>
        <w:snapToGrid w:val="true"/>
        <w:spacing w:lineRule="exact" w:line="576"/>
        <w:ind w:firstLine="48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（二）占用其他农用地</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 w:hAnsi="仿宋" w:eastAsia="仿宋" w:cs="仿宋" w:hint="eastAsia"/>
          <w:color w:val="000000"/>
          <w:sz w:val="32"/>
          <w:lang w:val="zh-CN"/>
        </w:rPr>
      </w:pPr>
      <w:r>
        <w:rPr>
          <w:rFonts w:ascii="仿宋_GB2312" w:hAnsi="仿宋_GB2312" w:cs="仿宋_GB2312" w:hint="eastAsia" w:eastAsia="仿宋_GB2312"/>
          <w:color w:val="000000"/>
          <w:sz w:val="32"/>
          <w:lang w:val="zh-CN"/>
        </w:rPr>
        <w:t>农牧民每户人口在</w:t>
      </w:r>
      <w:r>
        <w:rPr>
          <w:rFonts w:eastAsia="仿宋_GB2312" w:cs="仿宋_GB2312" w:hint="eastAsia" w:ascii="仿宋_GB2312" w:hAnsi="仿宋_GB2312"/>
          <w:color w:val="000000"/>
          <w:sz w:val="32"/>
          <w:lang w:val="zh-CN"/>
        </w:rPr>
        <w:t>4</w:t>
      </w:r>
      <w:r>
        <w:rPr>
          <w:rFonts w:ascii="仿宋_GB2312" w:hAnsi="仿宋_GB2312" w:cs="仿宋_GB2312" w:hint="eastAsia" w:eastAsia="仿宋_GB2312"/>
          <w:color w:val="000000"/>
          <w:sz w:val="32"/>
          <w:lang w:val="zh-CN"/>
        </w:rPr>
        <w:t>人以下的，每户宅基地不得超过</w:t>
      </w:r>
      <w:r>
        <w:rPr>
          <w:rFonts w:eastAsia="仿宋_GB2312" w:cs="仿宋_GB2312" w:hint="eastAsia" w:ascii="仿宋_GB2312" w:hAnsi="仿宋_GB2312"/>
          <w:color w:val="000000"/>
          <w:sz w:val="32"/>
          <w:lang w:val="zh-CN"/>
        </w:rPr>
        <w:t>350</w:t>
      </w:r>
      <w:r>
        <w:rPr>
          <w:rFonts w:ascii="仿宋_GB2312" w:hAnsi="仿宋_GB2312" w:cs="仿宋_GB2312" w:hint="eastAsia" w:eastAsia="仿宋_GB2312"/>
          <w:color w:val="000000"/>
          <w:sz w:val="32"/>
          <w:lang w:val="zh-CN"/>
        </w:rPr>
        <w:t>平方米；农牧民每户人口在</w:t>
      </w:r>
      <w:r>
        <w:rPr>
          <w:rFonts w:eastAsia="仿宋_GB2312" w:cs="仿宋_GB2312" w:hint="eastAsia" w:ascii="仿宋_GB2312" w:hAnsi="仿宋_GB2312"/>
          <w:color w:val="000000"/>
          <w:sz w:val="32"/>
          <w:lang w:val="zh-CN"/>
        </w:rPr>
        <w:t>5</w:t>
      </w:r>
      <w:r>
        <w:rPr>
          <w:rFonts w:ascii="仿宋_GB2312" w:hAnsi="仿宋_GB2312" w:cs="仿宋_GB2312" w:hint="eastAsia" w:eastAsia="仿宋_GB2312"/>
          <w:color w:val="000000"/>
          <w:sz w:val="32"/>
          <w:lang w:val="zh-CN"/>
        </w:rPr>
        <w:t>人以上的，每户宅基地不得超过</w:t>
      </w:r>
      <w:r>
        <w:rPr>
          <w:rFonts w:eastAsia="仿宋_GB2312" w:cs="仿宋_GB2312" w:hint="eastAsia" w:ascii="仿宋_GB2312" w:hAnsi="仿宋_GB2312"/>
          <w:color w:val="000000"/>
          <w:sz w:val="32"/>
          <w:lang w:val="zh-CN"/>
        </w:rPr>
        <w:t>400</w:t>
      </w:r>
      <w:r>
        <w:rPr>
          <w:rFonts w:ascii="仿宋_GB2312" w:hAnsi="仿宋_GB2312" w:cs="仿宋_GB2312" w:hint="eastAsia" w:eastAsia="仿宋_GB2312"/>
          <w:color w:val="000000"/>
          <w:sz w:val="32"/>
          <w:lang w:val="zh-CN"/>
        </w:rPr>
        <w:t>平方米</w:t>
      </w:r>
      <w:r>
        <w:rPr>
          <w:rFonts w:ascii="仿宋" w:hAnsi="仿宋" w:cs="仿宋" w:hint="eastAsia" w:eastAsia="仿宋"/>
          <w:color w:val="000000"/>
          <w:sz w:val="32"/>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ind w:firstLine="480" w:end="0"/>
        <w:jc w:val="both"/>
        <w:textAlignment w:val="auto"/>
        <w:rPr>
          <w:rFonts w:ascii="仿宋_GB2312" w:hAnsi="仿宋_GB2312" w:eastAsia="仿宋_GB2312" w:cs="仿宋_GB2312" w:hint="eastAsia"/>
          <w:color w:val="000000"/>
          <w:sz w:val="32"/>
          <w:lang w:val="zh-CN"/>
        </w:rPr>
      </w:pPr>
      <w:r>
        <w:rPr>
          <w:rFonts w:ascii="仿宋" w:hAnsi="仿宋" w:cs="仿宋" w:hint="eastAsia" w:eastAsia="仿宋"/>
          <w:color w:val="000000"/>
          <w:sz w:val="32"/>
          <w:lang w:val="zh-CN"/>
        </w:rPr>
        <w:t>（三）</w:t>
      </w:r>
      <w:r>
        <w:rPr>
          <w:rFonts w:ascii="仿宋_GB2312" w:hAnsi="仿宋_GB2312" w:cs="仿宋_GB2312" w:hint="eastAsia" w:eastAsia="仿宋_GB2312"/>
          <w:color w:val="000000"/>
          <w:sz w:val="32"/>
          <w:lang w:val="zh-CN"/>
        </w:rPr>
        <w:t>占用荒地</w:t>
      </w:r>
    </w:p>
    <w:p>
      <w:pPr>
        <w:pStyle w:val="Normal1"/>
        <w:keepNext w:val="false"/>
        <w:keepLines w:val="false"/>
        <w:pageBreakBefore w:val="false"/>
        <w:widowControl w:val="false"/>
        <w:kinsoku w:val="true"/>
        <w:overflowPunct w:val="true"/>
        <w:autoSpaceDE w:val="false"/>
        <w:bidi w:val="0"/>
        <w:snapToGrid w:val="true"/>
        <w:spacing w:lineRule="exact" w:line="576"/>
        <w:ind w:firstLine="48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农牧民每户人口在</w:t>
      </w:r>
      <w:r>
        <w:rPr>
          <w:rFonts w:eastAsia="仿宋_GB2312" w:cs="仿宋_GB2312" w:hint="eastAsia" w:ascii="仿宋_GB2312" w:hAnsi="仿宋_GB2312"/>
          <w:color w:val="000000"/>
          <w:sz w:val="32"/>
          <w:lang w:val="zh-CN"/>
        </w:rPr>
        <w:t>4</w:t>
      </w:r>
      <w:r>
        <w:rPr>
          <w:rFonts w:ascii="仿宋_GB2312" w:hAnsi="仿宋_GB2312" w:cs="仿宋_GB2312" w:hint="eastAsia" w:eastAsia="仿宋_GB2312"/>
          <w:color w:val="000000"/>
          <w:sz w:val="32"/>
          <w:lang w:val="zh-CN"/>
        </w:rPr>
        <w:t>人以下的，每户宅基地不得超过</w:t>
      </w:r>
      <w:r>
        <w:rPr>
          <w:rFonts w:eastAsia="仿宋_GB2312" w:cs="仿宋_GB2312" w:hint="eastAsia" w:ascii="仿宋_GB2312" w:hAnsi="仿宋_GB2312"/>
          <w:color w:val="000000"/>
          <w:sz w:val="32"/>
          <w:lang w:val="zh-CN"/>
        </w:rPr>
        <w:t>400</w:t>
      </w:r>
      <w:r>
        <w:rPr>
          <w:rFonts w:ascii="仿宋_GB2312" w:hAnsi="仿宋_GB2312" w:cs="仿宋_GB2312" w:hint="eastAsia" w:eastAsia="仿宋_GB2312"/>
          <w:color w:val="000000"/>
          <w:sz w:val="32"/>
          <w:lang w:val="zh-CN"/>
        </w:rPr>
        <w:t>平方米；农牧民每户人口在</w:t>
      </w:r>
      <w:r>
        <w:rPr>
          <w:rFonts w:eastAsia="仿宋_GB2312" w:cs="仿宋_GB2312" w:hint="eastAsia" w:ascii="仿宋_GB2312" w:hAnsi="仿宋_GB2312"/>
          <w:color w:val="000000"/>
          <w:sz w:val="32"/>
          <w:lang w:val="zh-CN"/>
        </w:rPr>
        <w:t>5</w:t>
      </w:r>
      <w:r>
        <w:rPr>
          <w:rFonts w:ascii="仿宋_GB2312" w:hAnsi="仿宋_GB2312" w:cs="仿宋_GB2312" w:hint="eastAsia" w:eastAsia="仿宋_GB2312"/>
          <w:color w:val="000000"/>
          <w:sz w:val="32"/>
          <w:lang w:val="zh-CN"/>
        </w:rPr>
        <w:t>人以上的，每户宅基地不得超过</w:t>
      </w:r>
      <w:r>
        <w:rPr>
          <w:rFonts w:eastAsia="仿宋_GB2312" w:cs="仿宋_GB2312" w:hint="eastAsia" w:ascii="仿宋_GB2312" w:hAnsi="仿宋_GB2312"/>
          <w:color w:val="000000"/>
          <w:sz w:val="32"/>
          <w:lang w:val="zh-CN"/>
        </w:rPr>
        <w:t>500</w:t>
      </w:r>
      <w:r>
        <w:rPr>
          <w:rFonts w:ascii="仿宋_GB2312" w:hAnsi="仿宋_GB2312" w:cs="仿宋_GB2312" w:hint="eastAsia" w:eastAsia="仿宋_GB2312"/>
          <w:color w:val="000000"/>
          <w:sz w:val="32"/>
          <w:lang w:val="zh-CN"/>
        </w:rPr>
        <w:t>平方米。</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第十七条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农牧民符合下列条件之一的，可以在村庄规划区内申请宅基地：</w:t>
      </w:r>
    </w:p>
    <w:p>
      <w:pPr>
        <w:pStyle w:val="Normal1"/>
        <w:keepNext w:val="false"/>
        <w:keepLines w:val="false"/>
        <w:pageBreakBefore w:val="false"/>
        <w:widowControl w:val="false"/>
        <w:kinsoku w:val="true"/>
        <w:overflowPunct w:val="true"/>
        <w:autoSpaceDE w:val="false"/>
        <w:bidi w:val="0"/>
        <w:snapToGrid w:val="true"/>
        <w:spacing w:lineRule="exact" w:line="576"/>
        <w:ind w:firstLine="608"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（一）符合分户条件且无宅基地的；</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（二）现有住房用地明显低于规定标准，需要新建住房或者扩大宅基地面积的；</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（三）</w:t>
      </w:r>
      <w:r>
        <w:rPr>
          <w:rFonts w:ascii="仿宋_GB2312" w:hAnsi="仿宋_GB2312" w:cs="仿宋_GB2312" w:hint="eastAsia" w:eastAsia="仿宋_GB2312"/>
          <w:color w:val="000000"/>
          <w:sz w:val="32"/>
          <w:highlight w:val="white"/>
          <w:lang w:val="zh-CN"/>
        </w:rPr>
        <w:t>因自然灾害、政策性移民等，需要搬迁安置的</w:t>
      </w:r>
      <w:r>
        <w:rPr>
          <w:rFonts w:eastAsia="仿宋_GB2312" w:cs="仿宋_GB2312" w:hint="eastAsia" w:ascii="仿宋_GB2312" w:hAnsi="仿宋_GB2312"/>
          <w:color w:val="000000"/>
          <w:sz w:val="32"/>
          <w:highlight w:val="white"/>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ind w:firstLine="32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（四）</w:t>
      </w:r>
      <w:r>
        <w:rPr>
          <w:rFonts w:ascii="仿宋_GB2312" w:hAnsi="仿宋_GB2312" w:cs="仿宋_GB2312" w:hint="eastAsia" w:eastAsia="仿宋_GB2312"/>
          <w:color w:val="000000"/>
          <w:sz w:val="32"/>
          <w:highlight w:val="white"/>
          <w:lang w:val="zh-CN"/>
        </w:rPr>
        <w:t>退出原有宅基地向集镇或者村庄居民集中建房点集聚的</w:t>
      </w:r>
      <w:r>
        <w:rPr>
          <w:rFonts w:eastAsia="仿宋_GB2312" w:cs="仿宋_GB2312" w:hint="eastAsia" w:ascii="仿宋_GB2312" w:hAnsi="仿宋_GB2312"/>
          <w:color w:val="000000"/>
          <w:sz w:val="32"/>
          <w:highlight w:val="white"/>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ind w:firstLine="608"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（五）因国家基本建设征用或者征收原有住宅用地的；</w:t>
      </w:r>
    </w:p>
    <w:p>
      <w:pPr>
        <w:pStyle w:val="Normal1"/>
        <w:keepNext w:val="false"/>
        <w:keepLines w:val="false"/>
        <w:pageBreakBefore w:val="false"/>
        <w:widowControl w:val="false"/>
        <w:kinsoku w:val="true"/>
        <w:overflowPunct w:val="true"/>
        <w:autoSpaceDE w:val="false"/>
        <w:bidi w:val="0"/>
        <w:snapToGrid w:val="true"/>
        <w:spacing w:lineRule="exact" w:line="576"/>
        <w:ind w:firstLine="608"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（六）经县（区）以上人民政府批准到农村落户或者回原籍定居的离退休人员、退伍军人、归国藏胞等无房户，取得本集体经济组织户籍的；</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（七）法律法规规定的其他情形。</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第十八条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农牧民在村庄规划区内申请宅基地时有下列情形之一的，不予批准：</w:t>
      </w:r>
    </w:p>
    <w:p>
      <w:pPr>
        <w:pStyle w:val="Normal1"/>
        <w:keepNext w:val="false"/>
        <w:keepLines w:val="false"/>
        <w:pageBreakBefore w:val="false"/>
        <w:widowControl w:val="false"/>
        <w:kinsoku w:val="true"/>
        <w:overflowPunct w:val="true"/>
        <w:autoSpaceDE w:val="false"/>
        <w:bidi w:val="0"/>
        <w:snapToGrid w:val="true"/>
        <w:spacing w:lineRule="exact" w:line="576"/>
        <w:ind w:firstLine="45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w:t>
      </w:r>
      <w:r>
        <w:rPr>
          <w:rFonts w:ascii="仿宋_GB2312" w:hAnsi="仿宋_GB2312" w:cs="仿宋_GB2312" w:hint="eastAsia" w:eastAsia="仿宋_GB2312"/>
          <w:color w:val="000000"/>
          <w:sz w:val="32"/>
          <w:highlight w:val="white"/>
          <w:lang w:val="zh-CN"/>
        </w:rPr>
        <w:t>不符合乡镇土地利用总体规划、村庄规划的</w:t>
      </w:r>
      <w:r>
        <w:rPr>
          <w:rFonts w:eastAsia="仿宋_GB2312" w:cs="仿宋_GB2312" w:hint="eastAsia" w:ascii="仿宋_GB2312" w:hAnsi="仿宋_GB2312"/>
          <w:color w:val="000000"/>
          <w:sz w:val="32"/>
          <w:highlight w:val="white"/>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ind w:firstLine="45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（二）拒绝签订原有宅基地退还协议的；</w:t>
      </w:r>
    </w:p>
    <w:p>
      <w:pPr>
        <w:pStyle w:val="Normal1"/>
        <w:keepNext w:val="false"/>
        <w:keepLines w:val="false"/>
        <w:pageBreakBefore w:val="false"/>
        <w:widowControl w:val="false"/>
        <w:kinsoku w:val="true"/>
        <w:overflowPunct w:val="true"/>
        <w:autoSpaceDE w:val="false"/>
        <w:bidi w:val="0"/>
        <w:snapToGrid w:val="true"/>
        <w:spacing w:lineRule="exact" w:line="576"/>
        <w:ind w:firstLine="45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（三）</w:t>
      </w:r>
      <w:r>
        <w:rPr>
          <w:rFonts w:ascii="仿宋_GB2312" w:hAnsi="仿宋_GB2312" w:cs="仿宋_GB2312" w:hint="eastAsia" w:eastAsia="仿宋_GB2312"/>
          <w:color w:val="000000"/>
          <w:sz w:val="32"/>
          <w:highlight w:val="white"/>
          <w:lang w:val="zh-CN"/>
        </w:rPr>
        <w:t>现有宅基地面积能够满足分户需要的</w:t>
      </w:r>
      <w:r>
        <w:rPr>
          <w:rFonts w:eastAsia="仿宋_GB2312" w:cs="仿宋_GB2312" w:hint="eastAsia" w:ascii="仿宋_GB2312" w:hAnsi="仿宋_GB2312"/>
          <w:color w:val="000000"/>
          <w:sz w:val="32"/>
          <w:highlight w:val="white"/>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ind w:firstLine="45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（四）擅自改变土地用途的；</w:t>
      </w:r>
    </w:p>
    <w:p>
      <w:pPr>
        <w:pStyle w:val="Normal1"/>
        <w:keepNext w:val="false"/>
        <w:keepLines w:val="false"/>
        <w:pageBreakBefore w:val="false"/>
        <w:widowControl w:val="false"/>
        <w:kinsoku w:val="true"/>
        <w:overflowPunct w:val="true"/>
        <w:autoSpaceDE w:val="false"/>
        <w:bidi w:val="0"/>
        <w:snapToGrid w:val="true"/>
        <w:spacing w:lineRule="exact" w:line="576"/>
        <w:ind w:firstLine="45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（五）所申请的地块存在权属争议的；</w:t>
      </w:r>
    </w:p>
    <w:p>
      <w:pPr>
        <w:pStyle w:val="Normal1"/>
        <w:keepNext w:val="false"/>
        <w:keepLines w:val="false"/>
        <w:pageBreakBefore w:val="false"/>
        <w:widowControl w:val="false"/>
        <w:kinsoku w:val="true"/>
        <w:overflowPunct w:val="true"/>
        <w:autoSpaceDE w:val="false"/>
        <w:bidi w:val="0"/>
        <w:snapToGrid w:val="true"/>
        <w:spacing w:lineRule="exact" w:line="576"/>
        <w:ind w:firstLine="48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（六）不具备申请宅基地的其他情形。</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highlight w:val="white"/>
          <w:lang w:val="zh-CN"/>
        </w:rPr>
      </w:pPr>
      <w:r>
        <w:rPr>
          <w:rFonts w:ascii="黑体" w:hAnsi="黑体" w:cs="黑体" w:hint="eastAsia" w:eastAsia="黑体"/>
          <w:color w:val="000000"/>
          <w:sz w:val="32"/>
          <w:lang w:val="zh-CN"/>
        </w:rPr>
        <w:t>第十九条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highlight w:val="white"/>
          <w:lang w:val="zh-CN"/>
        </w:rPr>
        <w:t>农牧民进行宅基地建设的，应当申请乡村建设规划许可证。</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申请办理乡村建设规划许可证的，应当向乡（镇）人民政府提交下列材料</w:t>
      </w:r>
      <w:r>
        <w:rPr>
          <w:rFonts w:eastAsia="仿宋_GB2312" w:cs="仿宋_GB2312" w:hint="eastAsia" w:ascii="仿宋_GB2312" w:hAnsi="仿宋_GB2312"/>
          <w:color w:val="000000"/>
          <w:sz w:val="32"/>
          <w:highlight w:val="white"/>
          <w:lang w:val="zh-CN"/>
        </w:rPr>
        <w:t xml:space="preserve">:             </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（一）书面申请；</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（二）申请人身份证明；</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（三）村民委员会书面意见、四邻协议和房屋用地四至图等有关材料；</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（四）土地使用权属证明；</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（五）其他应当提供的材料。</w:t>
      </w:r>
    </w:p>
    <w:p>
      <w:pPr>
        <w:pStyle w:val="Normal1"/>
        <w:keepNext w:val="false"/>
        <w:keepLines w:val="false"/>
        <w:pageBreakBefore w:val="false"/>
        <w:widowControl w:val="false"/>
        <w:kinsoku w:val="true"/>
        <w:overflowPunct w:val="true"/>
        <w:autoSpaceDE w:val="false"/>
        <w:bidi w:val="0"/>
        <w:snapToGrid w:val="true"/>
        <w:spacing w:lineRule="exact" w:line="576"/>
        <w:ind w:firstLine="707" w:end="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农牧民在历史文化名村和古村落保护范围内进行住房建设的，申请办理乡村建设规划许可证时，应当向乡（镇）人民政府提交文物行政主管部门的书面审查意见。</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法律、法规对住房建设在环境保护、地质灾害、消防、抗震、防雷、防洪等有明确要求的，农牧民在申请办理乡村建设规划许可证时，应当向乡（镇）人民政府提交有关行政主管部门的书面审查意见。</w:t>
      </w:r>
    </w:p>
    <w:p>
      <w:pPr>
        <w:pStyle w:val="Normal1"/>
        <w:keepNext w:val="false"/>
        <w:keepLines w:val="false"/>
        <w:pageBreakBefore w:val="false"/>
        <w:widowControl w:val="false"/>
        <w:kinsoku w:val="true"/>
        <w:overflowPunct w:val="true"/>
        <w:autoSpaceDE w:val="false"/>
        <w:bidi w:val="0"/>
        <w:snapToGrid w:val="true"/>
        <w:spacing w:lineRule="exact" w:line="576"/>
        <w:ind w:firstLine="160" w:end="0"/>
        <w:jc w:val="both"/>
        <w:textAlignment w:val="auto"/>
        <w:rPr>
          <w:rFonts w:ascii="仿宋_GB2312" w:hAnsi="仿宋_GB2312" w:eastAsia="仿宋_GB2312" w:cs="仿宋_GB2312" w:hint="eastAsia"/>
          <w:color w:val="000000"/>
          <w:sz w:val="32"/>
          <w:lang w:val="zh-CN"/>
        </w:rPr>
      </w:pPr>
      <w:r>
        <w:rPr>
          <w:rFonts w:eastAsia="黑体" w:cs="黑体" w:hint="eastAsia" w:ascii="黑体" w:hAnsi="黑体"/>
          <w:color w:val="000000"/>
          <w:sz w:val="32"/>
          <w:lang w:val="zh-CN"/>
        </w:rPr>
        <w:t xml:space="preserve">   </w:t>
      </w:r>
      <w:r>
        <w:rPr>
          <w:rFonts w:ascii="黑体" w:hAnsi="黑体" w:cs="黑体" w:hint="eastAsia" w:eastAsia="黑体"/>
          <w:color w:val="000000"/>
          <w:sz w:val="32"/>
          <w:lang w:val="zh-CN"/>
        </w:rPr>
        <w:t>第二十条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乡（镇）人民政府应当自接到申请材料齐全之日起</w:t>
      </w:r>
      <w:r>
        <w:rPr>
          <w:rFonts w:eastAsia="仿宋_GB2312" w:cs="仿宋_GB2312" w:hint="eastAsia" w:ascii="仿宋_GB2312" w:hAnsi="仿宋_GB2312"/>
          <w:color w:val="000000"/>
          <w:sz w:val="32"/>
          <w:lang w:val="zh-CN"/>
        </w:rPr>
        <w:t>10</w:t>
      </w:r>
      <w:r>
        <w:rPr>
          <w:rFonts w:ascii="仿宋_GB2312" w:hAnsi="仿宋_GB2312" w:cs="仿宋_GB2312" w:hint="eastAsia" w:eastAsia="仿宋_GB2312"/>
          <w:color w:val="000000"/>
          <w:sz w:val="32"/>
          <w:lang w:val="zh-CN"/>
        </w:rPr>
        <w:t xml:space="preserve">日内报送县（区）人民政府城乡规划主管部门。  </w:t>
      </w:r>
    </w:p>
    <w:p>
      <w:pPr>
        <w:pStyle w:val="Normal1"/>
        <w:keepNext w:val="false"/>
        <w:keepLines w:val="false"/>
        <w:pageBreakBefore w:val="false"/>
        <w:widowControl w:val="false"/>
        <w:kinsoku w:val="true"/>
        <w:overflowPunct w:val="true"/>
        <w:autoSpaceDE w:val="false"/>
        <w:bidi w:val="0"/>
        <w:snapToGrid w:val="true"/>
        <w:spacing w:lineRule="exact" w:line="576"/>
        <w:ind w:firstLine="160" w:end="0"/>
        <w:jc w:val="both"/>
        <w:textAlignment w:val="auto"/>
        <w:rPr>
          <w:rFonts w:ascii="仿宋_GB2312" w:hAnsi="仿宋_GB2312" w:eastAsia="仿宋_GB2312" w:cs="仿宋_GB2312" w:hint="eastAsia"/>
          <w:color w:val="000000"/>
          <w:sz w:val="32"/>
          <w:lang w:val="zh-CN"/>
        </w:rPr>
      </w:pPr>
      <w:r>
        <w:rPr>
          <w:rFonts w:eastAsia="仿宋_GB2312" w:cs="仿宋_GB2312" w:hint="eastAsia" w:ascii="仿宋_GB2312" w:hAnsi="仿宋_GB2312"/>
          <w:color w:val="000000"/>
          <w:sz w:val="32"/>
          <w:lang w:val="zh-CN"/>
        </w:rPr>
        <w:t xml:space="preserve">   </w:t>
      </w:r>
      <w:r>
        <w:rPr>
          <w:rFonts w:ascii="仿宋_GB2312" w:hAnsi="仿宋_GB2312" w:cs="仿宋_GB2312" w:hint="eastAsia" w:eastAsia="仿宋_GB2312"/>
          <w:color w:val="000000"/>
          <w:sz w:val="32"/>
          <w:lang w:val="zh-CN"/>
        </w:rPr>
        <w:t>县（区）人民政府城乡规划主管部门应当自受理乡村建设规划许可申请之日起</w:t>
      </w:r>
      <w:r>
        <w:rPr>
          <w:rFonts w:eastAsia="仿宋_GB2312" w:cs="仿宋_GB2312" w:hint="eastAsia" w:ascii="仿宋_GB2312" w:hAnsi="仿宋_GB2312"/>
          <w:color w:val="000000"/>
          <w:sz w:val="32"/>
          <w:lang w:val="zh-CN"/>
        </w:rPr>
        <w:t>10</w:t>
      </w:r>
      <w:r>
        <w:rPr>
          <w:rFonts w:ascii="仿宋_GB2312" w:hAnsi="仿宋_GB2312" w:cs="仿宋_GB2312" w:hint="eastAsia" w:eastAsia="仿宋_GB2312"/>
          <w:color w:val="000000"/>
          <w:sz w:val="32"/>
          <w:lang w:val="zh-CN"/>
        </w:rPr>
        <w:t>日内进行审查并作出决定。对符合法定条件的，应当依法作出准予许可的书面决定，并向申请人核发乡村建设规划许可证。不符合法定条件的，应当依法作出不予许可的书面决定，并说明理由。</w:t>
      </w:r>
    </w:p>
    <w:p>
      <w:pPr>
        <w:pStyle w:val="Normal1"/>
        <w:keepNext w:val="false"/>
        <w:keepLines w:val="false"/>
        <w:pageBreakBefore w:val="false"/>
        <w:widowControl w:val="false"/>
        <w:kinsoku w:val="true"/>
        <w:overflowPunct w:val="true"/>
        <w:autoSpaceDE w:val="false"/>
        <w:bidi w:val="0"/>
        <w:snapToGrid w:val="true"/>
        <w:spacing w:lineRule="exact" w:line="576"/>
        <w:jc w:val="both"/>
        <w:textAlignment w:val="auto"/>
        <w:rPr>
          <w:rFonts w:ascii="仿宋_GB2312" w:hAnsi="仿宋_GB2312" w:eastAsia="仿宋_GB2312" w:cs="仿宋_GB2312" w:hint="eastAsia"/>
          <w:color w:val="000000"/>
          <w:sz w:val="32"/>
          <w:highlight w:val="white"/>
          <w:lang w:val="zh-CN"/>
        </w:rPr>
      </w:pPr>
      <w:r>
        <w:rPr>
          <w:rFonts w:eastAsia="黑体" w:cs="黑体" w:hint="eastAsia" w:ascii="黑体" w:hAnsi="黑体"/>
          <w:color w:val="000000"/>
          <w:sz w:val="32"/>
          <w:lang w:val="zh-CN"/>
        </w:rPr>
        <w:t xml:space="preserve">    </w:t>
      </w:r>
      <w:r>
        <w:rPr>
          <w:rFonts w:ascii="黑体" w:hAnsi="黑体" w:cs="黑体" w:hint="eastAsia" w:eastAsia="黑体"/>
          <w:color w:val="000000"/>
          <w:sz w:val="32"/>
          <w:lang w:val="zh-CN"/>
        </w:rPr>
        <w:t>第二十一条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highlight w:val="white"/>
          <w:lang w:val="zh-CN"/>
        </w:rPr>
        <w:t>农牧民住宅建设确需占用农用地的，应当依照《中华人民共和国土地管理法》有关规定办理农用地转用审批手续后，由</w:t>
      </w:r>
      <w:r>
        <w:rPr>
          <w:rFonts w:ascii="仿宋_GB2312" w:hAnsi="仿宋_GB2312" w:cs="仿宋_GB2312" w:hint="eastAsia" w:eastAsia="仿宋_GB2312"/>
          <w:color w:val="000000"/>
          <w:sz w:val="32"/>
          <w:lang w:val="zh-CN"/>
        </w:rPr>
        <w:t>县（区）人民政府城乡规划主管部门</w:t>
      </w:r>
      <w:r>
        <w:rPr>
          <w:rFonts w:ascii="仿宋_GB2312" w:hAnsi="仿宋_GB2312" w:cs="仿宋_GB2312" w:hint="eastAsia" w:eastAsia="仿宋_GB2312"/>
          <w:color w:val="000000"/>
          <w:sz w:val="32"/>
          <w:highlight w:val="white"/>
          <w:lang w:val="zh-CN"/>
        </w:rPr>
        <w:t>核发乡村建设规划许可证。</w:t>
      </w:r>
    </w:p>
    <w:p>
      <w:pPr>
        <w:pStyle w:val="Normal1"/>
        <w:keepNext w:val="false"/>
        <w:keepLines w:val="false"/>
        <w:pageBreakBefore w:val="false"/>
        <w:widowControl w:val="false"/>
        <w:kinsoku w:val="true"/>
        <w:overflowPunct w:val="true"/>
        <w:autoSpaceDE w:val="false"/>
        <w:bidi w:val="0"/>
        <w:snapToGrid w:val="true"/>
        <w:spacing w:lineRule="exact" w:line="576"/>
        <w:jc w:val="both"/>
        <w:textAlignment w:val="auto"/>
        <w:rPr>
          <w:rFonts w:ascii="仿宋_GB2312" w:hAnsi="仿宋_GB2312" w:eastAsia="仿宋_GB2312" w:cs="仿宋_GB2312" w:hint="eastAsia"/>
          <w:color w:val="000000"/>
          <w:sz w:val="32"/>
          <w:highlight w:val="white"/>
          <w:lang w:val="zh-CN"/>
        </w:rPr>
      </w:pPr>
      <w:r>
        <w:rPr>
          <w:rFonts w:eastAsia="黑体" w:cs="黑体" w:hint="eastAsia" w:ascii="黑体" w:hAnsi="黑体"/>
          <w:color w:val="000000"/>
          <w:sz w:val="32"/>
          <w:lang w:val="zh-CN"/>
        </w:rPr>
        <w:t xml:space="preserve">    </w:t>
      </w:r>
      <w:r>
        <w:rPr>
          <w:rFonts w:ascii="黑体" w:hAnsi="黑体" w:cs="黑体" w:hint="eastAsia" w:eastAsia="黑体"/>
          <w:color w:val="000000"/>
          <w:sz w:val="32"/>
          <w:lang w:val="zh-CN"/>
        </w:rPr>
        <w:t>第二十二条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批准的宅基地满</w:t>
      </w:r>
      <w:r>
        <w:rPr>
          <w:rFonts w:eastAsia="仿宋_GB2312" w:cs="仿宋_GB2312" w:hint="eastAsia" w:ascii="仿宋_GB2312" w:hAnsi="仿宋_GB2312"/>
          <w:color w:val="000000"/>
          <w:sz w:val="32"/>
          <w:lang w:val="zh-CN"/>
        </w:rPr>
        <w:t>2</w:t>
      </w:r>
      <w:r>
        <w:rPr>
          <w:rFonts w:ascii="仿宋_GB2312" w:hAnsi="仿宋_GB2312" w:cs="仿宋_GB2312" w:hint="eastAsia" w:eastAsia="仿宋_GB2312"/>
          <w:color w:val="000000"/>
          <w:sz w:val="32"/>
          <w:lang w:val="zh-CN"/>
        </w:rPr>
        <w:t>年未建设的，经乡（镇）人民政府报县级人民政府批准后，注销其用地批准和乡村建设规划许可文件，由村民委员会无偿收回宅基地。</w:t>
      </w:r>
      <w:r>
        <w:rPr>
          <w:rFonts w:ascii="仿宋_GB2312" w:hAnsi="仿宋_GB2312" w:cs="仿宋_GB2312" w:hint="eastAsia" w:eastAsia="仿宋_GB2312"/>
          <w:color w:val="000000"/>
          <w:sz w:val="32"/>
          <w:highlight w:val="white"/>
          <w:lang w:val="zh-CN"/>
        </w:rPr>
        <w:t>因不可抗力等不能按期建设的，可以申请延期建设。</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highlight w:val="white"/>
          <w:lang w:val="zh-CN"/>
        </w:rPr>
      </w:pPr>
      <w:r>
        <w:rPr>
          <w:rFonts w:ascii="黑体" w:hAnsi="黑体" w:cs="黑体" w:hint="eastAsia" w:eastAsia="黑体"/>
          <w:color w:val="000000"/>
          <w:sz w:val="32"/>
          <w:lang w:val="zh-CN"/>
        </w:rPr>
        <w:t>第二十三条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在村庄内需要使用临时建设用地的，应当经村民委员会同意，报乡（镇）人民政府批准，期满后应当及时恢复原状。</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第二十四条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农牧民建房</w:t>
      </w:r>
      <w:r>
        <w:rPr>
          <w:rFonts w:ascii="仿宋_GB2312" w:hAnsi="仿宋_GB2312" w:cs="仿宋_GB2312" w:hint="eastAsia" w:eastAsia="仿宋_GB2312"/>
          <w:color w:val="000000"/>
          <w:sz w:val="32"/>
          <w:highlight w:val="white"/>
          <w:lang w:val="zh-CN"/>
        </w:rPr>
        <w:t>应当严格按照乡村建设规划许可的内容进行建设，</w:t>
      </w:r>
      <w:r>
        <w:rPr>
          <w:rFonts w:ascii="仿宋_GB2312" w:hAnsi="仿宋_GB2312" w:cs="仿宋_GB2312" w:hint="eastAsia" w:eastAsia="仿宋_GB2312"/>
          <w:color w:val="000000"/>
          <w:sz w:val="32"/>
          <w:lang w:val="zh-CN"/>
        </w:rPr>
        <w:t>不得擅自变更乡村建设规划许可证的内容。确需变更的，应当经原审批发证机关同意后办理变更手续。</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取得乡村建设规划许可证的宅基地建设工程开工前，农牧民应当向乡（镇）人民政府申请放线，未经放线的不得开工。</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highlight w:val="white"/>
          <w:lang w:val="zh-CN"/>
        </w:rPr>
      </w:pPr>
      <w:r>
        <w:rPr>
          <w:rFonts w:ascii="仿宋_GB2312" w:hAnsi="仿宋_GB2312" w:cs="仿宋_GB2312" w:hint="eastAsia" w:eastAsia="仿宋_GB2312"/>
          <w:color w:val="000000"/>
          <w:sz w:val="32"/>
          <w:highlight w:val="white"/>
          <w:lang w:val="zh-CN"/>
        </w:rPr>
        <w:t>农牧民住房建设完工后，乡（镇）人民政府应当组织有关部门进行竣工规划核实。</w:t>
      </w:r>
    </w:p>
    <w:p>
      <w:pPr>
        <w:pStyle w:val="Normal1"/>
        <w:keepNext w:val="false"/>
        <w:keepLines w:val="false"/>
        <w:pageBreakBefore w:val="false"/>
        <w:widowControl w:val="false"/>
        <w:kinsoku w:val="true"/>
        <w:overflowPunct w:val="true"/>
        <w:autoSpaceDE w:val="false"/>
        <w:bidi w:val="0"/>
        <w:snapToGrid w:val="true"/>
        <w:spacing w:lineRule="exact" w:line="576"/>
        <w:jc w:val="both"/>
        <w:textAlignment w:val="auto"/>
        <w:rPr>
          <w:rFonts w:ascii="仿宋_GB2312" w:hAnsi="仿宋_GB2312" w:eastAsia="仿宋_GB2312" w:cs="仿宋_GB2312" w:hint="eastAsia"/>
          <w:color w:val="000000"/>
          <w:sz w:val="32"/>
          <w:lang w:val="zh-CN"/>
        </w:rPr>
      </w:pPr>
      <w:r>
        <w:rPr>
          <w:rFonts w:eastAsia="黑体" w:cs="黑体" w:hint="eastAsia" w:ascii="黑体" w:hAnsi="黑体"/>
          <w:color w:val="000000"/>
          <w:sz w:val="32"/>
          <w:lang w:val="zh-CN"/>
        </w:rPr>
        <w:t xml:space="preserve">    </w:t>
      </w:r>
      <w:r>
        <w:rPr>
          <w:rFonts w:ascii="黑体" w:hAnsi="黑体" w:cs="黑体" w:hint="eastAsia" w:eastAsia="黑体"/>
          <w:color w:val="000000"/>
          <w:sz w:val="32"/>
          <w:lang w:val="zh-CN"/>
        </w:rPr>
        <w:t>第二十五条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 xml:space="preserve"> 农牧民新建、改建、扩建住房应当符合村庄风貌和建筑安全要求。</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经营者以农牧民住宅从事各类经营活动的，应当依法符合所从事行业对房屋的条件要求。</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highlight w:val="white"/>
          <w:lang w:val="zh-CN"/>
        </w:rPr>
        <w:t xml:space="preserve">第二十六条  </w:t>
      </w:r>
      <w:r>
        <w:rPr>
          <w:rFonts w:ascii="仿宋_GB2312" w:hAnsi="仿宋_GB2312" w:cs="仿宋_GB2312" w:hint="eastAsia" w:eastAsia="仿宋_GB2312"/>
          <w:color w:val="000000"/>
          <w:sz w:val="32"/>
          <w:highlight w:val="white"/>
          <w:lang w:val="zh-CN"/>
        </w:rPr>
        <w:t>在村庄规划区内进行企业建设、公共设施和公益事业建设的</w:t>
      </w:r>
      <w:r>
        <w:rPr>
          <w:rFonts w:ascii="仿宋_GB2312" w:hAnsi="仿宋_GB2312" w:cs="仿宋_GB2312" w:hint="eastAsia" w:eastAsia="仿宋_GB2312"/>
          <w:color w:val="000000"/>
          <w:sz w:val="32"/>
          <w:lang w:val="zh-CN"/>
        </w:rPr>
        <w:t>，按照有关法律法规的规定执行。</w:t>
      </w:r>
    </w:p>
    <w:p>
      <w:pPr>
        <w:pStyle w:val="Normal1"/>
        <w:keepNext w:val="false"/>
        <w:keepLines w:val="false"/>
        <w:pageBreakBefore w:val="false"/>
        <w:widowControl w:val="false"/>
        <w:kinsoku w:val="true"/>
        <w:overflowPunct w:val="true"/>
        <w:autoSpaceDE w:val="false"/>
        <w:bidi w:val="0"/>
        <w:snapToGrid w:val="true"/>
        <w:spacing w:lineRule="exact" w:line="576"/>
        <w:jc w:val="both"/>
        <w:textAlignment w:val="auto"/>
        <w:rPr>
          <w:rFonts w:ascii="仿宋_GB2312" w:hAnsi="仿宋_GB2312" w:eastAsia="仿宋_GB2312" w:cs="仿宋_GB2312" w:hint="eastAsia"/>
          <w:color w:val="000000"/>
          <w:sz w:val="32"/>
          <w:lang w:val="zh-CN"/>
        </w:rPr>
      </w:pPr>
      <w:r>
        <w:rPr>
          <w:rFonts w:eastAsia="仿宋" w:cs="仿宋" w:hint="eastAsia" w:ascii="仿宋" w:hAnsi="仿宋"/>
          <w:color w:val="000000"/>
          <w:sz w:val="32"/>
          <w:lang w:val="zh-CN"/>
        </w:rPr>
        <w:t xml:space="preserve">    </w:t>
      </w:r>
      <w:r>
        <w:rPr>
          <w:rFonts w:ascii="黑体" w:hAnsi="黑体" w:cs="黑体" w:hint="eastAsia" w:eastAsia="黑体"/>
          <w:color w:val="000000"/>
          <w:sz w:val="32"/>
          <w:lang w:val="zh-CN"/>
        </w:rPr>
        <w:t>第二十七条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highlight w:val="white"/>
          <w:lang w:val="zh-CN"/>
        </w:rPr>
        <w:t>县（区）人民政府住房与城乡建设主管部门应当加强对村庄建筑施工人员的技能培训，鼓励农牧民将住房交由建筑施工企业、建筑劳务承包队伍或者经过技能培训的施工人员承建。</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农牧民委托他人建设住宅的，应当与承建人签订施工合同，由承建人对安全生产和房屋质量负责。</w:t>
      </w:r>
    </w:p>
    <w:p>
      <w:pPr>
        <w:pStyle w:val="Normal1"/>
        <w:keepNext w:val="false"/>
        <w:keepLines w:val="false"/>
        <w:pageBreakBefore w:val="false"/>
        <w:widowControl w:val="false"/>
        <w:kinsoku w:val="true"/>
        <w:overflowPunct w:val="true"/>
        <w:autoSpaceDE w:val="false"/>
        <w:bidi w:val="0"/>
        <w:snapToGrid w:val="true"/>
        <w:spacing w:lineRule="exact" w:line="576"/>
        <w:jc w:val="both"/>
        <w:textAlignment w:val="auto"/>
        <w:rPr>
          <w:rFonts w:ascii="仿宋_GB2312" w:hAnsi="仿宋_GB2312" w:eastAsia="仿宋_GB2312" w:cs="仿宋_GB2312" w:hint="eastAsia"/>
          <w:color w:val="000000"/>
          <w:sz w:val="32"/>
          <w:lang w:val="zh-CN"/>
        </w:rPr>
      </w:pPr>
      <w:r>
        <w:rPr>
          <w:rFonts w:eastAsia="仿宋" w:cs="仿宋" w:hint="eastAsia" w:ascii="仿宋" w:hAnsi="仿宋"/>
          <w:color w:val="000000"/>
          <w:sz w:val="32"/>
          <w:lang w:val="zh-CN"/>
        </w:rPr>
        <w:t xml:space="preserve">   </w:t>
      </w:r>
      <w:r>
        <w:rPr>
          <w:rFonts w:ascii="黑体" w:hAnsi="黑体" w:cs="黑体" w:hint="eastAsia" w:eastAsia="黑体"/>
          <w:color w:val="000000"/>
          <w:sz w:val="32"/>
          <w:lang w:val="zh-CN"/>
        </w:rPr>
        <w:t>第二十八条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村庄建设应当符合消防安全要求，根据村庄规模、发展规划和保护等级，设置微型消防站，配备相应的消防设备。</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禁止在村庄主要街道设置影响消防车辆通行的限高架、石墩等障碍物。</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第二十九条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村庄应当合理建设垃圾收集点、建筑垃圾堆放点、垃圾箱，配备保洁员、垃圾清运工具等，保证定时清扫、保洁和清运。</w:t>
      </w:r>
    </w:p>
    <w:p>
      <w:pPr>
        <w:pStyle w:val="Normal1"/>
        <w:keepNext w:val="false"/>
        <w:keepLines w:val="false"/>
        <w:pageBreakBefore w:val="false"/>
        <w:widowControl w:val="false"/>
        <w:kinsoku w:val="true"/>
        <w:overflowPunct w:val="true"/>
        <w:autoSpaceDE w:val="false"/>
        <w:bidi w:val="0"/>
        <w:snapToGrid w:val="true"/>
        <w:spacing w:lineRule="exact" w:line="576"/>
        <w:ind w:firstLine="641" w:end="0"/>
        <w:jc w:val="both"/>
        <w:textAlignment w:val="auto"/>
        <w:rPr>
          <w:rFonts w:ascii="宋体" w:hAnsi="宋体" w:eastAsia="宋体" w:cs="宋体" w:hint="eastAsia"/>
          <w:color w:val="000000"/>
          <w:sz w:val="32"/>
          <w:lang w:val="zh-CN"/>
        </w:rPr>
      </w:pPr>
      <w:r>
        <w:rPr>
          <w:rFonts w:ascii="黑体" w:hAnsi="黑体" w:cs="黑体" w:hint="eastAsia" w:eastAsia="黑体"/>
          <w:color w:val="000000"/>
          <w:sz w:val="32"/>
          <w:lang w:val="zh-CN"/>
        </w:rPr>
        <w:t>第三十条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村庄内的各项生产建设活动，应当严格遵守环境保护法律、法规的规定，切实保护和改善村庄的生态环境，防止污染和其他公害。</w:t>
      </w:r>
    </w:p>
    <w:p>
      <w:pPr>
        <w:pStyle w:val="Normal1"/>
        <w:keepNext w:val="false"/>
        <w:keepLines w:val="false"/>
        <w:pageBreakBefore w:val="false"/>
        <w:widowControl w:val="false"/>
        <w:kinsoku w:val="true"/>
        <w:overflowPunct w:val="true"/>
        <w:autoSpaceDE w:val="false"/>
        <w:bidi w:val="0"/>
        <w:snapToGrid w:val="true"/>
        <w:spacing w:lineRule="exact" w:line="576"/>
        <w:ind w:firstLine="641" w:end="0"/>
        <w:jc w:val="both"/>
        <w:textAlignment w:val="auto"/>
        <w:rPr>
          <w:rFonts w:ascii="宋体" w:hAnsi="宋体" w:eastAsia="宋体" w:cs="宋体" w:hint="eastAsia"/>
          <w:color w:val="000000"/>
          <w:sz w:val="32"/>
          <w:lang w:val="zh-CN"/>
        </w:rPr>
      </w:pPr>
      <w:r>
        <w:rPr>
          <w:rFonts w:eastAsia="宋体" w:cs="宋体" w:hint="eastAsia" w:ascii="宋体" w:hAnsi="宋体"/>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ind w:firstLine="641" w:end="0"/>
        <w:jc w:val="center"/>
        <w:textAlignment w:val="auto"/>
        <w:rPr>
          <w:rFonts w:ascii="仿宋" w:hAnsi="仿宋" w:eastAsia="仿宋" w:cs="仿宋" w:hint="eastAsia"/>
          <w:color w:val="000000"/>
          <w:sz w:val="32"/>
          <w:lang w:val="zh-CN"/>
        </w:rPr>
      </w:pPr>
      <w:r>
        <w:rPr>
          <w:rFonts w:ascii="黑体" w:hAnsi="黑体" w:cs="黑体" w:hint="eastAsia" w:eastAsia="黑体"/>
          <w:color w:val="000000"/>
          <w:sz w:val="32"/>
          <w:lang w:val="zh-CN"/>
        </w:rPr>
        <w:t xml:space="preserve">第四章 </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村庄管理</w:t>
      </w:r>
    </w:p>
    <w:p>
      <w:pPr>
        <w:pStyle w:val="Normal1"/>
        <w:keepNext w:val="false"/>
        <w:keepLines w:val="false"/>
        <w:pageBreakBefore w:val="false"/>
        <w:widowControl w:val="false"/>
        <w:kinsoku w:val="true"/>
        <w:overflowPunct w:val="true"/>
        <w:autoSpaceDE w:val="false"/>
        <w:bidi w:val="0"/>
        <w:snapToGrid w:val="true"/>
        <w:spacing w:lineRule="exact" w:line="576"/>
        <w:ind w:firstLine="641" w:end="0"/>
        <w:jc w:val="both"/>
        <w:textAlignment w:val="auto"/>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ind w:firstLine="641"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第三十一条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村庄管理实行以人为本</w:t>
      </w:r>
      <w:r>
        <w:rPr>
          <w:rFonts w:eastAsia="仿宋_GB2312" w:cs="仿宋_GB2312" w:hint="eastAsia" w:ascii="仿宋_GB2312" w:hAnsi="仿宋_GB2312"/>
          <w:color w:val="000000"/>
          <w:sz w:val="32"/>
          <w:lang w:val="zh-CN"/>
        </w:rPr>
        <w:t>,</w:t>
      </w:r>
      <w:r>
        <w:rPr>
          <w:rFonts w:ascii="仿宋_GB2312" w:hAnsi="仿宋_GB2312" w:cs="仿宋_GB2312" w:hint="eastAsia" w:eastAsia="仿宋_GB2312"/>
          <w:color w:val="000000"/>
          <w:sz w:val="32"/>
          <w:lang w:val="zh-CN"/>
        </w:rPr>
        <w:t>分类管理。建成区以村容村貌整治、环境卫生管理为重点；适建区以建房规范与管理为重点；限建区以规划预留为重点；禁建区以生态维护为重点。</w:t>
      </w:r>
    </w:p>
    <w:p>
      <w:pPr>
        <w:pStyle w:val="Normal1"/>
        <w:keepNext w:val="false"/>
        <w:keepLines w:val="false"/>
        <w:pageBreakBefore w:val="false"/>
        <w:widowControl w:val="false"/>
        <w:kinsoku w:val="true"/>
        <w:overflowPunct w:val="true"/>
        <w:autoSpaceDE w:val="false"/>
        <w:bidi w:val="0"/>
        <w:snapToGrid w:val="true"/>
        <w:spacing w:lineRule="exact" w:line="576"/>
        <w:ind w:firstLine="672"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 xml:space="preserve">第三十二条 </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在村庄建设管理方面，村民委员会在乡（镇）人民政府指导下履行以下职责：</w:t>
      </w:r>
    </w:p>
    <w:p>
      <w:pPr>
        <w:pStyle w:val="Normal1"/>
        <w:keepNext w:val="false"/>
        <w:keepLines w:val="false"/>
        <w:pageBreakBefore w:val="false"/>
        <w:widowControl w:val="false"/>
        <w:kinsoku w:val="true"/>
        <w:overflowPunct w:val="true"/>
        <w:autoSpaceDE w:val="false"/>
        <w:bidi w:val="0"/>
        <w:snapToGrid w:val="true"/>
        <w:spacing w:lineRule="exact" w:line="576"/>
        <w:ind w:firstLine="45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（一）决定村庄管理中的重大事项；</w:t>
      </w:r>
    </w:p>
    <w:p>
      <w:pPr>
        <w:pStyle w:val="Normal1"/>
        <w:keepNext w:val="false"/>
        <w:keepLines w:val="false"/>
        <w:pageBreakBefore w:val="false"/>
        <w:widowControl w:val="false"/>
        <w:kinsoku w:val="true"/>
        <w:overflowPunct w:val="true"/>
        <w:autoSpaceDE w:val="false"/>
        <w:bidi w:val="0"/>
        <w:snapToGrid w:val="true"/>
        <w:spacing w:lineRule="exact" w:line="576"/>
        <w:ind w:firstLine="45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（二）制定村庄管理办法；</w:t>
      </w:r>
    </w:p>
    <w:p>
      <w:pPr>
        <w:pStyle w:val="Normal1"/>
        <w:keepNext w:val="false"/>
        <w:keepLines w:val="false"/>
        <w:pageBreakBefore w:val="false"/>
        <w:widowControl w:val="false"/>
        <w:kinsoku w:val="true"/>
        <w:overflowPunct w:val="true"/>
        <w:autoSpaceDE w:val="false"/>
        <w:bidi w:val="0"/>
        <w:snapToGrid w:val="true"/>
        <w:spacing w:lineRule="exact" w:line="576"/>
        <w:ind w:firstLine="448"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（三）保护村庄内的公共设施、公共饮用水源、文物古迹、古树名木、风景名胜和生态环境等；</w:t>
      </w:r>
    </w:p>
    <w:p>
      <w:pPr>
        <w:pStyle w:val="Normal1"/>
        <w:keepNext w:val="false"/>
        <w:keepLines w:val="false"/>
        <w:pageBreakBefore w:val="false"/>
        <w:widowControl w:val="false"/>
        <w:kinsoku w:val="true"/>
        <w:overflowPunct w:val="true"/>
        <w:autoSpaceDE w:val="false"/>
        <w:bidi w:val="0"/>
        <w:snapToGrid w:val="true"/>
        <w:spacing w:lineRule="exact" w:line="576"/>
        <w:ind w:firstLine="450"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（四）制止违规建设的行为。</w:t>
      </w:r>
    </w:p>
    <w:p>
      <w:pPr>
        <w:pStyle w:val="Normal1"/>
        <w:keepNext w:val="false"/>
        <w:keepLines w:val="false"/>
        <w:pageBreakBefore w:val="false"/>
        <w:widowControl w:val="false"/>
        <w:kinsoku w:val="true"/>
        <w:overflowPunct w:val="true"/>
        <w:autoSpaceDE w:val="false"/>
        <w:bidi w:val="0"/>
        <w:snapToGrid w:val="true"/>
        <w:spacing w:lineRule="exact" w:line="576"/>
        <w:ind w:firstLine="608" w:end="0"/>
        <w:jc w:val="both"/>
        <w:textAlignment w:val="auto"/>
        <w:rPr>
          <w:rFonts w:ascii="仿宋_GB2312" w:hAnsi="仿宋_GB2312" w:eastAsia="仿宋_GB2312" w:cs="仿宋_GB2312" w:hint="eastAsia"/>
          <w:color w:val="000000"/>
          <w:sz w:val="32"/>
          <w:lang w:val="zh-CN"/>
        </w:rPr>
      </w:pPr>
      <w:r>
        <w:rPr>
          <w:rFonts w:ascii="仿宋_GB2312" w:hAnsi="仿宋_GB2312" w:cs="仿宋_GB2312" w:hint="eastAsia" w:eastAsia="仿宋_GB2312"/>
          <w:color w:val="000000"/>
          <w:sz w:val="32"/>
          <w:lang w:val="zh-CN"/>
        </w:rPr>
        <w:t>乡（镇）人民政府应当为村民委员会配备村庄规划建设管理助理员，协助所在村民委员会做好村庄管理事务。</w:t>
      </w:r>
    </w:p>
    <w:p>
      <w:pPr>
        <w:pStyle w:val="Normal1"/>
        <w:keepNext w:val="false"/>
        <w:keepLines w:val="false"/>
        <w:pageBreakBefore w:val="false"/>
        <w:widowControl w:val="false"/>
        <w:kinsoku w:val="true"/>
        <w:overflowPunct w:val="true"/>
        <w:autoSpaceDE w:val="false"/>
        <w:bidi w:val="0"/>
        <w:snapToGrid w:val="true"/>
        <w:spacing w:lineRule="exact" w:line="576"/>
        <w:ind w:firstLine="608" w:end="0"/>
        <w:jc w:val="both"/>
        <w:textAlignment w:val="auto"/>
        <w:rPr>
          <w:rFonts w:ascii="仿宋" w:hAnsi="仿宋" w:eastAsia="仿宋" w:cs="仿宋" w:hint="eastAsia"/>
          <w:color w:val="000000"/>
          <w:sz w:val="32"/>
          <w:lang w:val="zh-CN"/>
        </w:rPr>
      </w:pPr>
      <w:r>
        <w:rPr>
          <w:rFonts w:eastAsia="黑体" w:cs="黑体" w:hint="eastAsia" w:ascii="黑体" w:hAnsi="黑体"/>
          <w:color w:val="000000"/>
          <w:sz w:val="32"/>
          <w:lang w:val="zh-CN"/>
        </w:rPr>
        <w:t xml:space="preserve"> </w:t>
      </w:r>
      <w:r>
        <w:rPr>
          <w:rFonts w:ascii="黑体" w:hAnsi="黑体" w:cs="黑体" w:hint="eastAsia" w:eastAsia="黑体"/>
          <w:color w:val="000000"/>
          <w:sz w:val="32"/>
          <w:lang w:val="zh-CN"/>
        </w:rPr>
        <w:t>第三十三条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村民委员会应当加强对村庄基础设施、公共设施的后期管理，指定专人负责管护工作，明确管护责任，确保村庄内建筑和公共设施的正常使用</w:t>
      </w:r>
      <w:r>
        <w:rPr>
          <w:rFonts w:ascii="仿宋" w:hAnsi="仿宋" w:cs="仿宋" w:hint="eastAsia" w:eastAsia="仿宋"/>
          <w:color w:val="000000"/>
          <w:sz w:val="32"/>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 w:hAnsi="仿宋" w:eastAsia="仿宋" w:cs="仿宋" w:hint="eastAsia"/>
          <w:color w:val="000000"/>
          <w:sz w:val="32"/>
          <w:lang w:val="zh-CN"/>
        </w:rPr>
      </w:pPr>
      <w:r>
        <w:rPr>
          <w:rFonts w:ascii="黑体" w:hAnsi="黑体" w:cs="黑体" w:hint="eastAsia" w:eastAsia="黑体"/>
          <w:color w:val="000000"/>
          <w:sz w:val="32"/>
          <w:lang w:val="zh-CN"/>
        </w:rPr>
        <w:t>第三十四条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乡（镇）人民政府应当采取措施，保护村庄饮用水水源，防治水污染，改善供水条件，保证水质达到国家规定的生活饮用水卫生标准。</w:t>
      </w:r>
      <w:r>
        <w:rPr>
          <w:rFonts w:ascii="仿宋" w:hAnsi="仿宋" w:cs="仿宋" w:hint="eastAsia" w:eastAsia="仿宋"/>
          <w:color w:val="000000"/>
          <w:sz w:val="32"/>
          <w:lang w:val="zh-CN"/>
        </w:rPr>
        <w:t xml:space="preserve"> </w:t>
      </w:r>
      <w:r>
        <w:rPr>
          <w:rFonts w:eastAsia="仿宋" w:cs="仿宋" w:hint="eastAsia" w:ascii="仿宋" w:hAnsi="仿宋"/>
          <w:color w:val="000000"/>
          <w:sz w:val="32"/>
          <w:lang w:val="zh-CN"/>
        </w:rPr>
        <w:br/>
      </w:r>
      <w:r>
        <w:rPr>
          <w:rFonts w:ascii="仿宋" w:hAnsi="仿宋" w:cs="仿宋" w:hint="eastAsia" w:eastAsia="仿宋"/>
          <w:color w:val="000000"/>
          <w:sz w:val="32"/>
          <w:lang w:val="zh-CN"/>
        </w:rPr>
        <w:t xml:space="preserve">　  </w:t>
      </w:r>
      <w:r>
        <w:rPr>
          <w:rFonts w:ascii="黑体" w:hAnsi="黑体" w:cs="黑体" w:hint="eastAsia" w:eastAsia="黑体"/>
          <w:color w:val="000000"/>
          <w:sz w:val="32"/>
          <w:lang w:val="zh-CN"/>
        </w:rPr>
        <w:t>第三十五条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乡（镇）人民政府应当加强对村庄周边的土地、林地、草场等自然生态景观、周边绿色山野空间景观的保护，有计划地进行绿化造林，美化环境。</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 w:hAnsi="仿宋" w:eastAsia="仿宋" w:cs="仿宋" w:hint="eastAsia"/>
          <w:color w:val="000000"/>
          <w:sz w:val="32"/>
          <w:lang w:val="zh-CN"/>
        </w:rPr>
      </w:pPr>
      <w:r>
        <w:rPr>
          <w:rFonts w:ascii="黑体" w:hAnsi="黑体" w:cs="黑体" w:hint="eastAsia" w:eastAsia="黑体"/>
          <w:color w:val="000000"/>
          <w:sz w:val="32"/>
          <w:lang w:val="zh-CN"/>
        </w:rPr>
        <w:t>第三十六条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乡（镇）人民政府应当加强对村庄建设的监督管理，建立巡查报告制度，定期巡查村庄建设情况</w:t>
      </w:r>
      <w:r>
        <w:rPr>
          <w:rFonts w:ascii="仿宋" w:hAnsi="仿宋" w:cs="仿宋" w:hint="eastAsia" w:eastAsia="仿宋"/>
          <w:color w:val="000000"/>
          <w:sz w:val="32"/>
          <w:lang w:val="zh-CN"/>
        </w:rPr>
        <w:t>。</w:t>
      </w:r>
    </w:p>
    <w:p>
      <w:pPr>
        <w:pStyle w:val="Normal1"/>
        <w:keepNext w:val="false"/>
        <w:keepLines w:val="false"/>
        <w:pageBreakBefore w:val="false"/>
        <w:widowControl w:val="false"/>
        <w:kinsoku w:val="true"/>
        <w:overflowPunct w:val="true"/>
        <w:autoSpaceDE w:val="false"/>
        <w:bidi w:val="0"/>
        <w:snapToGrid w:val="true"/>
        <w:spacing w:lineRule="exact" w:line="576"/>
        <w:jc w:val="center"/>
        <w:textAlignment w:val="auto"/>
        <w:rPr>
          <w:rFonts w:ascii="仿宋" w:hAnsi="仿宋" w:eastAsia="仿宋" w:cs="仿宋" w:hint="eastAsia"/>
          <w:color w:val="000000"/>
          <w:sz w:val="32"/>
          <w:lang w:val="zh-CN"/>
        </w:rPr>
      </w:pPr>
      <w:r>
        <w:rPr>
          <w:rFonts w:eastAsia="仿宋" w:cs="仿宋" w:hint="eastAsia" w:ascii="仿宋" w:hAnsi="仿宋"/>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第五章</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 xml:space="preserve"> 法律责任</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 w:hAnsi="仿宋" w:eastAsia="仿宋" w:cs="仿宋" w:hint="eastAsia"/>
          <w:color w:val="000000"/>
          <w:sz w:val="32"/>
          <w:lang w:val="zh-CN"/>
        </w:rPr>
      </w:pPr>
      <w:r>
        <w:rPr>
          <w:rFonts w:ascii="黑体" w:hAnsi="黑体" w:cs="黑体" w:hint="eastAsia" w:eastAsia="黑体"/>
          <w:color w:val="000000"/>
          <w:sz w:val="32"/>
          <w:lang w:val="zh-CN"/>
        </w:rPr>
        <w:t>第三十七条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 xml:space="preserve"> 违反本条例规定，未取得乡村建设规划许可证擅自建设或者未按照乡村建设规划许可证的规定进行建设的，由乡（镇）人民政府责令停止建设限期改正；逾期不改正的，由乡（镇）人民政府依法拆除，拆除费用由违法者承担。</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 w:hAnsi="仿宋" w:eastAsia="仿宋" w:cs="仿宋" w:hint="eastAsia"/>
          <w:color w:val="000000"/>
          <w:sz w:val="32"/>
          <w:lang w:val="zh-CN"/>
        </w:rPr>
      </w:pPr>
      <w:r>
        <w:rPr>
          <w:rFonts w:ascii="黑体" w:hAnsi="黑体" w:cs="黑体" w:hint="eastAsia" w:eastAsia="黑体"/>
          <w:color w:val="000000"/>
          <w:sz w:val="32"/>
          <w:lang w:val="zh-CN"/>
        </w:rPr>
        <w:t>第三十八条</w:t>
      </w:r>
      <w:r>
        <w:rPr>
          <w:rFonts w:ascii="仿宋_GB2312" w:hAnsi="仿宋_GB2312" w:cs="仿宋_GB2312" w:hint="eastAsia" w:eastAsia="仿宋_GB2312"/>
          <w:color w:val="000000"/>
          <w:sz w:val="32"/>
          <w:lang w:val="zh-CN"/>
        </w:rPr>
        <w:t xml:space="preserve">  违反本条例第十五条规定的，拒不退出旧宅基地的，村民委员会报经原批准用地机关批准，可以收回土地使用权。</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 w:hAnsi="仿宋" w:eastAsia="仿宋" w:cs="仿宋" w:hint="eastAsia"/>
          <w:color w:val="000000"/>
          <w:sz w:val="32"/>
          <w:lang w:val="zh-CN"/>
        </w:rPr>
      </w:pPr>
      <w:r>
        <w:rPr>
          <w:rFonts w:ascii="黑体" w:hAnsi="黑体" w:cs="黑体" w:hint="eastAsia" w:eastAsia="黑体"/>
          <w:color w:val="000000"/>
          <w:sz w:val="32"/>
          <w:lang w:val="zh-CN"/>
        </w:rPr>
        <w:t>第三十九条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违反本条例规定，在村庄主要街道设置影响消防车辆通行的限高架、石墩等障碍物的，由县级公安消防部门责令改正，对单位处以五千元以上五万元以下罚款，对个人处以警告或者五百元以下罚款。拒不改正的，可以依法予以拆除，所需费用由违法行为人承担。</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 w:hAnsi="仿宋" w:eastAsia="仿宋" w:cs="仿宋" w:hint="eastAsia"/>
          <w:color w:val="000000"/>
          <w:sz w:val="32"/>
          <w:highlight w:val="white"/>
          <w:lang w:val="zh-CN"/>
        </w:rPr>
      </w:pPr>
      <w:r>
        <w:rPr>
          <w:rFonts w:ascii="黑体" w:hAnsi="黑体" w:cs="黑体" w:hint="eastAsia" w:eastAsia="黑体"/>
          <w:color w:val="000000"/>
          <w:sz w:val="32"/>
          <w:highlight w:val="white"/>
          <w:lang w:val="zh-CN"/>
        </w:rPr>
        <w:t>第四十条</w:t>
      </w:r>
      <w:r>
        <w:rPr>
          <w:rFonts w:ascii="仿宋" w:hAnsi="仿宋" w:cs="仿宋" w:hint="eastAsia" w:eastAsia="仿宋"/>
          <w:color w:val="000000"/>
          <w:sz w:val="32"/>
          <w:highlight w:val="white"/>
          <w:lang w:val="zh-CN"/>
        </w:rPr>
        <w:t xml:space="preserve">   </w:t>
      </w:r>
      <w:r>
        <w:rPr>
          <w:rFonts w:ascii="仿宋_GB2312" w:hAnsi="仿宋_GB2312" w:cs="仿宋_GB2312" w:hint="eastAsia" w:eastAsia="仿宋_GB2312"/>
          <w:color w:val="000000"/>
          <w:sz w:val="32"/>
          <w:highlight w:val="white"/>
          <w:lang w:val="zh-CN"/>
        </w:rPr>
        <w:t>损坏村庄内文物古迹、古木名树、风景名胜、军事设施、防汛设施、测量标志，以及损坏邮电、通信、输变电、管道等设施的，依照有关法律法规的规定处理。</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第四十一条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lang w:val="zh-CN"/>
        </w:rPr>
        <w:t>国家工作人员在村庄规划、建设和管理工作中玩忽职守、滥用职权、徇私舞弊的，由所在单位或者上级行政主管部门依法给予行政处分；构成犯罪的，依法追究刑事责任。</w:t>
      </w:r>
    </w:p>
    <w:p>
      <w:pPr>
        <w:pStyle w:val="Normal1"/>
        <w:keepNext w:val="false"/>
        <w:keepLines w:val="false"/>
        <w:pageBreakBefore w:val="false"/>
        <w:widowControl w:val="false"/>
        <w:kinsoku w:val="true"/>
        <w:overflowPunct w:val="true"/>
        <w:autoSpaceDE w:val="false"/>
        <w:bidi w:val="0"/>
        <w:snapToGrid w:val="true"/>
        <w:spacing w:lineRule="exact" w:line="576"/>
        <w:ind w:firstLine="640" w:end="0"/>
        <w:jc w:val="both"/>
        <w:textAlignment w:val="auto"/>
        <w:rPr>
          <w:rFonts w:ascii="仿宋_GB2312" w:hAnsi="仿宋_GB2312" w:eastAsia="仿宋_GB2312" w:cs="仿宋_GB2312" w:hint="eastAsia"/>
          <w:color w:val="000000"/>
          <w:sz w:val="32"/>
          <w:lang w:val="zh-CN"/>
        </w:rPr>
      </w:pPr>
      <w:r>
        <w:rPr>
          <w:rFonts w:ascii="黑体" w:hAnsi="黑体" w:cs="黑体" w:hint="eastAsia" w:eastAsia="黑体"/>
          <w:color w:val="000000"/>
          <w:sz w:val="32"/>
          <w:lang w:val="zh-CN"/>
        </w:rPr>
        <w:t>第四十二条</w:t>
      </w:r>
      <w:r>
        <w:rPr>
          <w:rFonts w:ascii="仿宋" w:hAnsi="仿宋" w:cs="仿宋" w:hint="eastAsia" w:eastAsia="仿宋"/>
          <w:color w:val="000000"/>
          <w:sz w:val="32"/>
          <w:lang w:val="zh-CN"/>
        </w:rPr>
        <w:t xml:space="preserve">  </w:t>
      </w:r>
      <w:r>
        <w:rPr>
          <w:rFonts w:ascii="仿宋_GB2312" w:hAnsi="仿宋_GB2312" w:cs="仿宋_GB2312" w:hint="eastAsia" w:eastAsia="仿宋_GB2312"/>
          <w:color w:val="000000"/>
          <w:sz w:val="32"/>
          <w:highlight w:val="white"/>
          <w:lang w:val="zh-CN"/>
        </w:rPr>
        <w:t>村民委员会负责人在村庄规划、建设和管理工作中具有危害公共利益、侵犯村民合法权益行为的，由乡（镇）人民政府通报批评、责令改正；构成犯罪的，依法追究刑事责任。</w:t>
      </w:r>
    </w:p>
    <w:p>
      <w:pPr>
        <w:pStyle w:val="Normal1"/>
        <w:keepNext w:val="false"/>
        <w:keepLines w:val="false"/>
        <w:pageBreakBefore w:val="false"/>
        <w:widowControl w:val="false"/>
        <w:kinsoku w:val="true"/>
        <w:overflowPunct w:val="true"/>
        <w:autoSpaceDE w:val="false"/>
        <w:bidi w:val="0"/>
        <w:snapToGrid w:val="true"/>
        <w:spacing w:lineRule="exact" w:line="576"/>
        <w:jc w:val="both"/>
        <w:textAlignment w:val="auto"/>
        <w:rPr>
          <w:rFonts w:ascii="黑体" w:hAnsi="黑体" w:eastAsia="黑体" w:cs="黑体" w:hint="eastAsia"/>
          <w:color w:val="000000"/>
          <w:sz w:val="32"/>
          <w:lang w:val="zh-CN"/>
        </w:rPr>
      </w:pPr>
      <w:r>
        <w:rPr>
          <w:rFonts w:eastAsia="黑体" w:cs="黑体" w:hint="eastAsia" w:ascii="黑体" w:hAnsi="黑体"/>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jc w:val="center"/>
        <w:textAlignment w:val="auto"/>
        <w:rPr>
          <w:rFonts w:ascii="黑体" w:hAnsi="黑体" w:eastAsia="黑体" w:cs="黑体" w:hint="eastAsia"/>
          <w:color w:val="000000"/>
          <w:sz w:val="32"/>
          <w:lang w:val="zh-CN"/>
        </w:rPr>
      </w:pPr>
      <w:r>
        <w:rPr>
          <w:rFonts w:ascii="黑体" w:hAnsi="黑体" w:cs="黑体" w:hint="eastAsia" w:eastAsia="黑体"/>
          <w:color w:val="000000"/>
          <w:sz w:val="32"/>
          <w:lang w:val="zh-CN"/>
        </w:rPr>
        <w:t xml:space="preserve">第六章 </w:t>
      </w:r>
      <w:r>
        <w:rPr>
          <w:rFonts w:ascii="黑体" w:hAnsi="黑体" w:cs="黑体" w:hint="eastAsia" w:eastAsia="黑体"/>
          <w:color w:val="000000"/>
          <w:sz w:val="32"/>
        </w:rPr>
        <w:t xml:space="preserve"> </w:t>
      </w:r>
      <w:r>
        <w:rPr>
          <w:rFonts w:ascii="黑体" w:hAnsi="黑体" w:cs="黑体" w:hint="eastAsia" w:eastAsia="黑体"/>
          <w:color w:val="000000"/>
          <w:sz w:val="32"/>
          <w:lang w:val="zh-CN"/>
        </w:rPr>
        <w:t>附  则</w:t>
      </w:r>
    </w:p>
    <w:p>
      <w:pPr>
        <w:pStyle w:val="Normal1"/>
        <w:keepNext w:val="false"/>
        <w:keepLines w:val="false"/>
        <w:pageBreakBefore w:val="false"/>
        <w:widowControl w:val="false"/>
        <w:kinsoku w:val="true"/>
        <w:overflowPunct w:val="true"/>
        <w:autoSpaceDE w:val="false"/>
        <w:bidi w:val="0"/>
        <w:snapToGrid w:val="true"/>
        <w:spacing w:lineRule="exact" w:line="576"/>
        <w:jc w:val="both"/>
        <w:textAlignment w:val="auto"/>
        <w:rPr>
          <w:rFonts w:ascii="仿宋" w:hAnsi="仿宋" w:eastAsia="仿宋" w:cs="仿宋" w:hint="eastAsia"/>
          <w:sz w:val="32"/>
          <w:lang w:val="zh-CN"/>
        </w:rPr>
      </w:pPr>
      <w:r>
        <w:rPr>
          <w:rFonts w:eastAsia="黑体" w:cs="黑体" w:hint="eastAsia" w:ascii="黑体" w:hAnsi="黑体"/>
          <w:color w:val="000000"/>
          <w:sz w:val="32"/>
        </w:rPr>
        <w:t xml:space="preserve">    </w:t>
      </w:r>
      <w:r>
        <w:rPr>
          <w:rFonts w:ascii="黑体" w:hAnsi="黑体" w:cs="黑体" w:hint="eastAsia" w:eastAsia="黑体"/>
          <w:color w:val="000000"/>
          <w:sz w:val="32"/>
          <w:lang w:val="zh-CN"/>
        </w:rPr>
        <w:t>第四十三条</w:t>
      </w:r>
      <w:r>
        <w:rPr>
          <w:rFonts w:ascii="仿宋" w:hAnsi="仿宋" w:cs="仿宋" w:hint="eastAsia" w:eastAsia="仿宋"/>
          <w:color w:val="000000"/>
          <w:sz w:val="32"/>
          <w:lang w:val="zh-CN"/>
        </w:rPr>
        <w:t xml:space="preserve">  本条例自</w:t>
      </w:r>
      <w:r>
        <w:rPr>
          <w:rFonts w:eastAsia="仿宋" w:cs="仿宋" w:hint="eastAsia" w:ascii="仿宋" w:hAnsi="仿宋"/>
          <w:color w:val="000000"/>
          <w:sz w:val="32"/>
          <w:lang w:val="zh-CN"/>
        </w:rPr>
        <w:t>2019</w:t>
      </w:r>
      <w:r>
        <w:rPr>
          <w:rFonts w:ascii="仿宋" w:hAnsi="仿宋" w:cs="仿宋" w:hint="eastAsia" w:eastAsia="仿宋"/>
          <w:color w:val="000000"/>
          <w:sz w:val="32"/>
          <w:lang w:val="zh-CN"/>
        </w:rPr>
        <w:t>年</w:t>
      </w:r>
      <w:r>
        <w:rPr>
          <w:rFonts w:eastAsia="仿宋" w:cs="仿宋" w:hint="eastAsia" w:ascii="仿宋" w:hAnsi="仿宋"/>
          <w:color w:val="000000"/>
          <w:sz w:val="32"/>
          <w:lang w:val="zh-CN"/>
        </w:rPr>
        <w:t>1</w:t>
      </w:r>
      <w:r>
        <w:rPr>
          <w:rFonts w:ascii="仿宋" w:hAnsi="仿宋" w:cs="仿宋" w:hint="eastAsia" w:eastAsia="仿宋"/>
          <w:color w:val="000000"/>
          <w:sz w:val="32"/>
          <w:lang w:val="zh-CN"/>
        </w:rPr>
        <w:t>月</w:t>
      </w:r>
      <w:r>
        <w:rPr>
          <w:rFonts w:eastAsia="仿宋" w:cs="仿宋" w:hint="eastAsia" w:ascii="仿宋" w:hAnsi="仿宋"/>
          <w:color w:val="000000"/>
          <w:sz w:val="32"/>
          <w:lang w:val="zh-CN"/>
        </w:rPr>
        <w:t>1</w:t>
      </w:r>
      <w:r>
        <w:rPr>
          <w:rFonts w:ascii="仿宋" w:hAnsi="仿宋" w:cs="仿宋" w:hint="eastAsia" w:eastAsia="仿宋"/>
          <w:color w:val="000000"/>
          <w:sz w:val="32"/>
          <w:lang w:val="zh-CN"/>
        </w:rPr>
        <w:t>日起施行</w:t>
      </w:r>
    </w:p>
    <w:p>
      <w:pPr>
        <w:pStyle w:val="Normal"/>
        <w:rPr>
          <w:rFonts w:ascii="仿宋" w:hAnsi="仿宋" w:eastAsia="仿宋" w:cs="仿宋" w:hint="eastAsia"/>
          <w:sz w:val="32"/>
          <w:lang w:val="zh-CN"/>
        </w:rPr>
      </w:pPr>
      <w:r>
        <w:rPr>
          <w:rFonts w:eastAsia="仿宋" w:cs="仿宋" w:hint="eastAsia" w:ascii="仿宋" w:hAnsi="仿宋"/>
          <w:sz w:val="32"/>
          <w:lang w:val="zh-CN"/>
        </w:rPr>
      </w:r>
    </w:p>
    <w:sectPr>
      <w:type w:val="nextPage"/>
      <w:pgSz w:w="11906" w:h="16838"/>
      <w:pgMar w:left="1587" w:right="1474" w:gutter="0" w:header="0" w:top="2097" w:footer="0"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楷体">
    <w:charset w:val="86"/>
    <w:family w:val="modern"/>
    <w:pitch w:val="default"/>
  </w:font>
  <w:font w:name="黑体">
    <w:charset w:val="86"/>
    <w:family w:val="auto"/>
    <w:pitch w:val="default"/>
  </w:font>
  <w:font w:name="仿宋">
    <w:charset w:val="86"/>
    <w:family w:val="modern"/>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taiwaneseCountingThousand"/>
      <w:suff w:val="space"/>
      <w:lvlText w:val="第%1条"/>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New">
    <w:name w:val="Normal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ormal1">
    <w:name w:val="Normal1"/>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
    <w:qFormat/>
    <w:pPr>
      <w:widowControl w:val="false"/>
      <w:spacing w:lineRule="auto" w:line="60"/>
      <w:ind w:firstLineChars="200" w:startChars="0" w:start="0" w:endChars="0" w:end="0"/>
      <w:textAlignment w:val="auto"/>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6295,0)" TargetMode="External"/><Relationship Id="rId3" Type="http://schemas.openxmlformats.org/officeDocument/2006/relationships/hyperlink" Target="http://www.chinalawedu.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2018-12-14T11:33:12Z</dcterms:created>
  <dc:creator>Administrator</dc:creator>
  <dc:description/>
  <dc:language>en-US</dc:language>
  <cp:lastModifiedBy/>
  <dcterms:modified xsi:type="dcterms:W3CDTF">2018-12-14T11:34:26Z</dcterms:modified>
  <cp:revision>0</cp:revision>
  <dc:subject/>
  <dc:title>拉萨市村庄规划建设管理条例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