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widowControl w:val="false"/>
        <w:spacing w:lineRule="exact" w:line="576" w:before="0" w:after="0"/>
        <w:jc w:val="center"/>
        <w:rPr>
          <w:bCs/>
          <w:sz w:val="44"/>
          <w:szCs w:val="44"/>
        </w:rPr>
      </w:pPr>
      <w:r>
        <w:rPr>
          <w:bCs/>
          <w:sz w:val="44"/>
          <w:szCs w:val="44"/>
        </w:rPr>
      </w:r>
    </w:p>
    <w:p>
      <w:pPr>
        <w:pStyle w:val="Style15"/>
        <w:widowControl w:val="false"/>
        <w:spacing w:lineRule="exact" w:line="576" w:before="0" w:after="0"/>
        <w:jc w:val="center"/>
        <w:rPr>
          <w:bCs/>
          <w:sz w:val="44"/>
          <w:szCs w:val="44"/>
        </w:rPr>
      </w:pPr>
      <w:r>
        <w:rPr>
          <w:bCs/>
          <w:sz w:val="44"/>
          <w:szCs w:val="44"/>
        </w:rPr>
      </w:r>
    </w:p>
    <w:p>
      <w:pPr>
        <w:pStyle w:val="Style15"/>
        <w:widowControl w:val="false"/>
        <w:spacing w:lineRule="exact" w:line="576" w:before="0" w:after="0"/>
        <w:jc w:val="center"/>
        <w:rPr>
          <w:rFonts w:hint="eastAsia"/>
          <w:bCs/>
          <w:sz w:val="44"/>
          <w:szCs w:val="44"/>
        </w:rPr>
      </w:pPr>
      <w:r>
        <w:rPr>
          <w:bCs/>
          <w:sz w:val="44"/>
          <w:szCs w:val="44"/>
        </w:rPr>
        <w:t>西藏自治区人民代表大会常务委员会</w:t>
      </w:r>
    </w:p>
    <w:p>
      <w:pPr>
        <w:pStyle w:val="Style15"/>
        <w:widowControl w:val="false"/>
        <w:spacing w:lineRule="exact" w:line="576" w:before="0" w:after="0"/>
        <w:jc w:val="center"/>
        <w:rPr>
          <w:rFonts w:hint="eastAsia"/>
          <w:bCs/>
          <w:sz w:val="44"/>
          <w:szCs w:val="44"/>
        </w:rPr>
      </w:pPr>
      <w:r>
        <w:rPr>
          <w:bCs/>
          <w:sz w:val="44"/>
          <w:szCs w:val="44"/>
        </w:rPr>
        <w:t>关于严厉打击“赔命金”违法</w:t>
      </w:r>
    </w:p>
    <w:p>
      <w:pPr>
        <w:pStyle w:val="Style15"/>
        <w:widowControl w:val="false"/>
        <w:spacing w:lineRule="exact" w:line="576" w:before="0" w:after="0"/>
        <w:jc w:val="center"/>
        <w:rPr>
          <w:rFonts w:hint="eastAsia"/>
          <w:bCs/>
          <w:sz w:val="44"/>
          <w:szCs w:val="44"/>
        </w:rPr>
      </w:pPr>
      <w:r>
        <w:rPr>
          <w:bCs/>
          <w:sz w:val="44"/>
          <w:szCs w:val="44"/>
        </w:rPr>
        <w:t>犯罪行为的决定</w:t>
      </w:r>
    </w:p>
    <w:p>
      <w:pPr>
        <w:pStyle w:val="Style15"/>
        <w:widowControl w:val="false"/>
        <w:spacing w:lineRule="exact" w:line="576" w:before="0" w:after="0"/>
        <w:jc w:val="center"/>
        <w:rPr>
          <w:rFonts w:hint="eastAsia"/>
          <w:bCs/>
          <w:sz w:val="44"/>
          <w:szCs w:val="44"/>
        </w:rPr>
      </w:pPr>
      <w:r>
        <w:rPr>
          <w:rFonts w:hint="eastAsia"/>
          <w:bCs/>
          <w:sz w:val="44"/>
          <w:szCs w:val="44"/>
        </w:rPr>
      </w:r>
    </w:p>
    <w:p>
      <w:pPr>
        <w:pStyle w:val="Style15"/>
        <w:widowControl w:val="false"/>
        <w:spacing w:lineRule="exact" w:line="576" w:before="0" w:after="0"/>
        <w:ind w:firstLineChars="0" w:firstLine="0" w:startChars="200" w:endChars="200"/>
        <w:jc w:val="both"/>
        <w:rPr>
          <w:rFonts w:ascii="楷体_GB2312" w:hAnsi="楷体_GB2312" w:eastAsia="楷体_GB2312"/>
          <w:sz w:val="32"/>
          <w:szCs w:val="32"/>
        </w:rPr>
      </w:pPr>
      <w:r>
        <w:rPr>
          <w:rFonts w:eastAsia="楷体_GB2312" w:ascii="楷体_GB2312" w:hAnsi="楷体_GB2312"/>
          <w:sz w:val="32"/>
          <w:szCs w:val="32"/>
        </w:rPr>
        <w:t>(2002</w:t>
      </w:r>
      <w:r>
        <w:rPr>
          <w:rFonts w:ascii="楷体_GB2312" w:hAnsi="楷体_GB2312" w:eastAsia="楷体_GB2312"/>
          <w:sz w:val="32"/>
          <w:szCs w:val="32"/>
        </w:rPr>
        <w:t>年</w:t>
      </w:r>
      <w:r>
        <w:rPr>
          <w:rFonts w:eastAsia="楷体_GB2312" w:ascii="楷体_GB2312" w:hAnsi="楷体_GB2312"/>
          <w:sz w:val="32"/>
          <w:szCs w:val="32"/>
        </w:rPr>
        <w:t>7</w:t>
      </w:r>
      <w:r>
        <w:rPr>
          <w:rFonts w:ascii="楷体_GB2312" w:hAnsi="楷体_GB2312" w:eastAsia="楷体_GB2312"/>
          <w:sz w:val="32"/>
          <w:szCs w:val="32"/>
        </w:rPr>
        <w:t>月</w:t>
      </w:r>
      <w:r>
        <w:rPr>
          <w:rFonts w:eastAsia="楷体_GB2312" w:ascii="楷体_GB2312" w:hAnsi="楷体_GB2312"/>
          <w:sz w:val="32"/>
          <w:szCs w:val="32"/>
        </w:rPr>
        <w:t>26</w:t>
      </w:r>
      <w:r>
        <w:rPr>
          <w:rFonts w:ascii="楷体_GB2312" w:hAnsi="楷体_GB2312" w:eastAsia="楷体_GB2312"/>
          <w:sz w:val="32"/>
          <w:szCs w:val="32"/>
        </w:rPr>
        <w:t>日西藏自治区第七届人民代表大会常务委员会第二十七次会议通过</w:t>
      </w:r>
      <w:r>
        <w:rPr>
          <w:rFonts w:ascii="楷体_GB2312" w:hAnsi="楷体_GB2312" w:hint="eastAsia" w:eastAsia="楷体_GB2312"/>
          <w:sz w:val="32"/>
          <w:szCs w:val="32"/>
        </w:rPr>
        <w:t xml:space="preserve">  </w:t>
      </w:r>
      <w:r>
        <w:rPr>
          <w:rFonts w:eastAsia="楷体_GB2312" w:ascii="楷体_GB2312" w:hAnsi="楷体_GB2312"/>
          <w:sz w:val="32"/>
          <w:szCs w:val="32"/>
        </w:rPr>
        <w:t>20</w:t>
      </w:r>
      <w:r>
        <w:rPr>
          <w:rFonts w:eastAsia="楷体_GB2312" w:hint="eastAsia" w:ascii="楷体_GB2312" w:hAnsi="楷体_GB2312"/>
          <w:sz w:val="32"/>
          <w:szCs w:val="32"/>
        </w:rPr>
        <w:t>10</w:t>
      </w:r>
      <w:r>
        <w:rPr>
          <w:rFonts w:ascii="楷体_GB2312" w:hAnsi="楷体_GB2312" w:eastAsia="楷体_GB2312"/>
          <w:sz w:val="32"/>
          <w:szCs w:val="32"/>
        </w:rPr>
        <w:t>年</w:t>
      </w:r>
      <w:r>
        <w:rPr>
          <w:rFonts w:eastAsia="楷体_GB2312" w:ascii="楷体_GB2312" w:hAnsi="楷体_GB2312"/>
          <w:sz w:val="32"/>
          <w:szCs w:val="32"/>
        </w:rPr>
        <w:t>7</w:t>
      </w:r>
      <w:r>
        <w:rPr>
          <w:rFonts w:ascii="楷体_GB2312" w:hAnsi="楷体_GB2312" w:eastAsia="楷体_GB2312"/>
          <w:sz w:val="32"/>
          <w:szCs w:val="32"/>
        </w:rPr>
        <w:t>月</w:t>
      </w:r>
      <w:r>
        <w:rPr>
          <w:rFonts w:eastAsia="楷体_GB2312" w:hint="eastAsia" w:ascii="楷体_GB2312" w:hAnsi="楷体_GB2312"/>
          <w:sz w:val="32"/>
          <w:szCs w:val="32"/>
        </w:rPr>
        <w:t>30</w:t>
      </w:r>
      <w:r>
        <w:rPr>
          <w:rFonts w:ascii="楷体_GB2312" w:hAnsi="楷体_GB2312" w:eastAsia="楷体_GB2312"/>
          <w:sz w:val="32"/>
          <w:szCs w:val="32"/>
        </w:rPr>
        <w:t>日西藏自治区第</w:t>
      </w:r>
      <w:r>
        <w:rPr>
          <w:rFonts w:ascii="楷体_GB2312" w:hAnsi="楷体_GB2312" w:hint="eastAsia" w:eastAsia="楷体_GB2312"/>
          <w:sz w:val="32"/>
          <w:szCs w:val="32"/>
        </w:rPr>
        <w:t>九</w:t>
      </w:r>
      <w:r>
        <w:rPr>
          <w:rFonts w:ascii="楷体_GB2312" w:hAnsi="楷体_GB2312" w:eastAsia="楷体_GB2312"/>
          <w:sz w:val="32"/>
          <w:szCs w:val="32"/>
        </w:rPr>
        <w:t>人民代表大会常务委员会第十七次会议</w:t>
      </w:r>
      <w:r>
        <w:rPr>
          <w:rFonts w:ascii="楷体_GB2312" w:hAnsi="楷体_GB2312" w:hint="eastAsia" w:eastAsia="楷体_GB2312"/>
          <w:sz w:val="32"/>
          <w:szCs w:val="32"/>
        </w:rPr>
        <w:t>修正</w:t>
      </w:r>
      <w:r>
        <w:rPr>
          <w:rFonts w:eastAsia="楷体_GB2312" w:ascii="楷体_GB2312" w:hAnsi="楷体_GB2312"/>
          <w:sz w:val="32"/>
          <w:szCs w:val="32"/>
        </w:rPr>
        <w:t>)</w:t>
      </w:r>
    </w:p>
    <w:p>
      <w:pPr>
        <w:pStyle w:val="Style15"/>
        <w:widowControl w:val="false"/>
        <w:spacing w:lineRule="exact" w:line="576" w:before="0" w:after="0"/>
        <w:ind w:firstLineChars="0" w:firstLine="0" w:startChars="200" w:endChars="200"/>
        <w:jc w:val="both"/>
        <w:rPr>
          <w:rFonts w:ascii="楷体_GB2312" w:hAnsi="楷体_GB2312" w:eastAsia="楷体_GB2312"/>
          <w:sz w:val="20"/>
          <w:szCs w:val="20"/>
        </w:rPr>
      </w:pPr>
      <w:r>
        <w:rPr>
          <w:rFonts w:eastAsia="楷体_GB2312" w:ascii="楷体_GB2312" w:hAnsi="楷体_GB2312"/>
          <w:sz w:val="20"/>
          <w:szCs w:val="20"/>
        </w:rPr>
      </w:r>
    </w:p>
    <w:p>
      <w:pPr>
        <w:pStyle w:val="Style15"/>
        <w:widowControl w:val="false"/>
        <w:spacing w:lineRule="exact" w:line="576" w:before="0" w:after="0"/>
        <w:ind w:firstLineChars="200" w:startChars="0" w:start="0" w:endChars="0" w:end="0"/>
        <w:jc w:val="both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ascii="仿宋_GB2312" w:hAnsi="仿宋_GB2312"/>
          <w:sz w:val="32"/>
          <w:szCs w:val="32"/>
        </w:rPr>
        <w:t>“</w:t>
      </w:r>
      <w:r>
        <w:rPr>
          <w:rFonts w:ascii="仿宋_GB2312" w:hAnsi="仿宋_GB2312" w:eastAsia="仿宋_GB2312"/>
          <w:sz w:val="32"/>
          <w:szCs w:val="32"/>
        </w:rPr>
        <w:t>赔命金”是旧西藏政教合一封建农奴制法律的内容，</w:t>
      </w:r>
      <w:r>
        <w:rPr>
          <w:rFonts w:eastAsia="仿宋_GB2312" w:ascii="仿宋_GB2312" w:hAnsi="仿宋_GB2312"/>
          <w:sz w:val="32"/>
          <w:szCs w:val="32"/>
        </w:rPr>
        <w:t>1959</w:t>
      </w:r>
      <w:r>
        <w:rPr>
          <w:rFonts w:ascii="仿宋_GB2312" w:hAnsi="仿宋_GB2312" w:eastAsia="仿宋_GB2312"/>
          <w:sz w:val="32"/>
          <w:szCs w:val="32"/>
        </w:rPr>
        <w:t>年平叛、民主改革后，随着政教合一封建农奴制度的灭亡，已被彻底废止。但近年来，我区少数偏远地方相继出现了“帕措”等封建宗族势力和少数僧尼操纵、参与“赔命金”的违法犯罪活动。这种违法犯罪行为，干预司法、损害群众利益，危害基层政权、经济建设和局势稳定，严重破坏了社会主义法制的统一和尊严，是对国家司法权的严重侵害。为了坚决禁止、严厉打击“赔命金”违法犯罪活动，特作如下决定：</w:t>
      </w:r>
    </w:p>
    <w:p>
      <w:pPr>
        <w:pStyle w:val="Style15"/>
        <w:widowControl w:val="false"/>
        <w:spacing w:lineRule="exact" w:line="576" w:before="0" w:after="0"/>
        <w:ind w:firstLineChars="200" w:startChars="0" w:start="0" w:endChars="0" w:end="0"/>
        <w:jc w:val="both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一、坚决禁止、严厉打击“赔命金”违法犯罪行为，维护国家法律尊严。认清“赔命金”违法犯罪行为的社会危害性。对操纵、参与“赔命金”活动，欺压群众，敲诈勒索等违法犯罪行为，要集中力量，坚决打击、专项治理。</w:t>
      </w:r>
    </w:p>
    <w:p>
      <w:pPr>
        <w:pStyle w:val="Style15"/>
        <w:widowControl w:val="false"/>
        <w:spacing w:lineRule="exact" w:line="576" w:before="0" w:after="0"/>
        <w:ind w:firstLineChars="200" w:startChars="0" w:start="0" w:endChars="0" w:end="0"/>
        <w:jc w:val="both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二、坚持打击少数、争取多数的原则。对参与“赔命金”违法犯罪活动的，区别不同情况，依法处理：</w:t>
      </w:r>
    </w:p>
    <w:p>
      <w:pPr>
        <w:pStyle w:val="Style15"/>
        <w:widowControl w:val="false"/>
        <w:spacing w:lineRule="exact" w:line="576" w:before="0" w:after="0"/>
        <w:ind w:firstLineChars="200" w:startChars="0" w:start="0" w:endChars="0" w:end="0"/>
        <w:jc w:val="both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具有非法占有财物的目的，采取威胁、要挟等手段强行索要“赔命金”的，依照《中华人民共和国刑法》第二百七十四条敲诈勒索罪，追究刑事责任。</w:t>
      </w:r>
    </w:p>
    <w:p>
      <w:pPr>
        <w:pStyle w:val="Style15"/>
        <w:widowControl w:val="false"/>
        <w:spacing w:lineRule="exact" w:line="576" w:before="0" w:after="0"/>
        <w:ind w:firstLineChars="200" w:startChars="0" w:start="0" w:endChars="0" w:end="0"/>
        <w:jc w:val="both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为掩盖犯罪事实、逃避法律制裁，被告人或其亲属贿买</w:t>
      </w:r>
      <w:r>
        <w:rPr>
          <w:rFonts w:eastAsia="仿宋_GB2312" w:ascii="仿宋_GB2312" w:hAnsi="仿宋_GB2312"/>
          <w:sz w:val="32"/>
          <w:szCs w:val="32"/>
        </w:rPr>
        <w:t>(</w:t>
      </w:r>
      <w:r>
        <w:rPr>
          <w:rFonts w:ascii="仿宋_GB2312" w:hAnsi="仿宋_GB2312" w:eastAsia="仿宋_GB2312"/>
          <w:sz w:val="32"/>
          <w:szCs w:val="32"/>
        </w:rPr>
        <w:t>赔偿“赔命金”</w:t>
      </w:r>
      <w:r>
        <w:rPr>
          <w:rFonts w:eastAsia="仿宋_GB2312" w:ascii="仿宋_GB2312" w:hAnsi="仿宋_GB2312"/>
          <w:sz w:val="32"/>
          <w:szCs w:val="32"/>
        </w:rPr>
        <w:t>)</w:t>
      </w:r>
      <w:r>
        <w:rPr>
          <w:rFonts w:ascii="仿宋_GB2312" w:hAnsi="仿宋_GB2312" w:eastAsia="仿宋_GB2312"/>
          <w:sz w:val="32"/>
          <w:szCs w:val="32"/>
        </w:rPr>
        <w:t>，阻止证人作证或者指使他人作伪证；收受被告方的“赔命金”，帮助其毁灭、伪造证据，情节严重的，依照《中华人民共和国刑法》第三百零七条妨害作证罪，帮助毁灭、伪造证据罪分别追究刑事责任。</w:t>
      </w:r>
    </w:p>
    <w:p>
      <w:pPr>
        <w:pStyle w:val="Style15"/>
        <w:widowControl w:val="false"/>
        <w:spacing w:lineRule="exact" w:line="576" w:before="0" w:after="0"/>
        <w:ind w:firstLineChars="200" w:startChars="0" w:start="0" w:endChars="0" w:end="0"/>
        <w:jc w:val="both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为帮助犯罪的人逃避法律制裁，收受其财物</w:t>
      </w:r>
      <w:r>
        <w:rPr>
          <w:rFonts w:eastAsia="仿宋_GB2312" w:ascii="仿宋_GB2312" w:hAnsi="仿宋_GB2312"/>
          <w:sz w:val="32"/>
          <w:szCs w:val="32"/>
        </w:rPr>
        <w:t>(“</w:t>
      </w:r>
      <w:r>
        <w:rPr>
          <w:rFonts w:ascii="仿宋_GB2312" w:hAnsi="仿宋_GB2312" w:eastAsia="仿宋_GB2312"/>
          <w:sz w:val="32"/>
          <w:szCs w:val="32"/>
        </w:rPr>
        <w:t>赔命金”</w:t>
      </w:r>
      <w:r>
        <w:rPr>
          <w:rFonts w:eastAsia="仿宋_GB2312" w:ascii="仿宋_GB2312" w:hAnsi="仿宋_GB2312"/>
          <w:sz w:val="32"/>
          <w:szCs w:val="32"/>
        </w:rPr>
        <w:t>)</w:t>
      </w:r>
      <w:r>
        <w:rPr>
          <w:rFonts w:ascii="仿宋_GB2312" w:hAnsi="仿宋_GB2312" w:eastAsia="仿宋_GB2312"/>
          <w:sz w:val="32"/>
          <w:szCs w:val="32"/>
        </w:rPr>
        <w:t>，为其提供隐藏处所、财物，帮助其逃匿或者作假证明包庇的，依照《中华人民共和国刑法》第三百一十条窝藏、包庇罪，追究刑事责任。</w:t>
      </w:r>
    </w:p>
    <w:p>
      <w:pPr>
        <w:pStyle w:val="Style15"/>
        <w:widowControl w:val="false"/>
        <w:spacing w:lineRule="exact" w:line="576" w:before="0" w:after="0"/>
        <w:ind w:firstLineChars="200" w:startChars="0" w:start="0" w:endChars="0" w:end="0"/>
        <w:jc w:val="both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对参与“赔命金”违法活动，尚不构成犯罪的，依照《中华人民共和国治安管理处罚</w:t>
      </w:r>
      <w:r>
        <w:rPr>
          <w:rFonts w:ascii="仿宋_GB2312" w:hAnsi="仿宋_GB2312" w:hint="eastAsia" w:eastAsia="仿宋_GB2312"/>
          <w:sz w:val="32"/>
          <w:szCs w:val="32"/>
        </w:rPr>
        <w:t>法</w:t>
      </w:r>
      <w:r>
        <w:rPr>
          <w:rFonts w:ascii="仿宋_GB2312" w:hAnsi="仿宋_GB2312" w:eastAsia="仿宋_GB2312"/>
          <w:sz w:val="32"/>
          <w:szCs w:val="32"/>
        </w:rPr>
        <w:t>》有关规定处罚。</w:t>
      </w:r>
    </w:p>
    <w:p>
      <w:pPr>
        <w:pStyle w:val="Style15"/>
        <w:widowControl w:val="false"/>
        <w:spacing w:lineRule="exact" w:line="576" w:before="0" w:after="0"/>
        <w:ind w:firstLineChars="200" w:startChars="0" w:start="0" w:endChars="0" w:end="0"/>
        <w:jc w:val="both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三、对“帕措”等封建宗族势力和少数僧尼操纵、参与“赔命金”违法犯罪活动，干预行政、司法事务的，坚决依法打击。</w:t>
      </w:r>
    </w:p>
    <w:p>
      <w:pPr>
        <w:pStyle w:val="Style15"/>
        <w:widowControl w:val="false"/>
        <w:spacing w:lineRule="exact" w:line="576" w:before="0" w:after="0"/>
        <w:ind w:firstLineChars="200" w:startChars="0" w:start="0" w:endChars="0" w:end="0"/>
        <w:jc w:val="both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四、审判、检察、公安机关在受理刑事案件时，应根据《中华人民共和国刑事诉讼法》第七十七条第一款“被害人由于被告人的犯罪行为而遭受物质损失的，在刑事诉讼过程中，有权提起附带民事诉讼”的规定，明确告知被害方享有刑事附带民事诉讼的权利，被害方放弃民事赔偿权利，索要“赔命金”的行为是违法的，一旦发生将依法制裁。</w:t>
      </w:r>
    </w:p>
    <w:p>
      <w:pPr>
        <w:pStyle w:val="Style15"/>
        <w:widowControl w:val="false"/>
        <w:spacing w:lineRule="exact" w:line="576" w:before="0" w:after="0"/>
        <w:ind w:firstLineChars="200" w:startChars="0" w:start="0" w:endChars="0" w:end="0"/>
        <w:jc w:val="both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审判、检察、公安机关受理刑事案件时，对有“赔命金”违法犯罪行为的，依照本决定第二条的规定依法追究当事人的刑事、行政责任。</w:t>
      </w:r>
    </w:p>
    <w:p>
      <w:pPr>
        <w:pStyle w:val="Style15"/>
        <w:widowControl w:val="false"/>
        <w:spacing w:lineRule="exact" w:line="576" w:before="0" w:after="0"/>
        <w:ind w:firstLineChars="200" w:startChars="0" w:start="0" w:endChars="0" w:end="0"/>
        <w:jc w:val="both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五、对索要或赔偿“赔命金”的违法犯罪行为，应当检举揭发，司法机关对检举揭发人应当予以保护。</w:t>
      </w:r>
    </w:p>
    <w:p>
      <w:pPr>
        <w:pStyle w:val="Style15"/>
        <w:widowControl w:val="false"/>
        <w:spacing w:lineRule="exact" w:line="576" w:before="0" w:after="0"/>
        <w:ind w:firstLineChars="200" w:startChars="0" w:start="0" w:endChars="0" w:end="0"/>
        <w:jc w:val="both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六、各级人民政府和司法机关要进一步加强法制宣传教育，增强公民的法制观念和依法维护自身合法权益的意识，使公民认识到“赔命金”行为的违法性和危害性，“赔命金”是不能替代刑事法律制裁的，无论是否支付了“赔命金”，对于构成犯罪的行为，仍然应当依法追究刑事责任；对行为人刑事责任的追究，也不能替代其应当承担的民事责任，在依法追究行为人的刑事责任时，被害方仍然可以对犯罪行为给自己造成的损害要求赔偿。通过法定程序进行的损害赔偿是受法律保护的，索要或赔偿“赔命金”的行为是违法的，不受法律保护。</w:t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98" w:footer="1588" w:bottom="1985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charset w:val="86"/>
    <w:family w:val="modern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0" w:firstLine="0" w:startChars="100" w:endChars="0" w:end="0"/>
      <w:rPr>
        <w:rFonts w:ascii="宋体" w:hAnsi="宋体" w:cs="宋体"/>
        <w:sz w:val="28"/>
        <w:szCs w:val="28"/>
      </w:rPr>
    </w:pPr>
    <w:r>
      <w:rPr>
        <w:rFonts w:cs="宋体" w:ascii="宋体" w:hAnsi="宋体"/>
        <w:sz w:val="28"/>
        <w:szCs w:val="28"/>
      </w:rPr>
      <w:fldChar w:fldCharType="begin"/>
    </w:r>
    <w:r>
      <w:rPr>
        <w:rFonts w:cs="宋体" w:ascii="宋体" w:hAnsi="宋体"/>
        <w:sz w:val="28"/>
        <w:szCs w:val="28"/>
      </w:rPr>
      <w:instrText xml:space="preserve"> PAGE </w:instrText>
    </w:r>
    <w:r>
      <w:rPr>
        <w:rFonts w:cs="宋体" w:ascii="宋体" w:hAnsi="宋体"/>
        <w:sz w:val="28"/>
        <w:szCs w:val="28"/>
      </w:rPr>
      <w:fldChar w:fldCharType="separate"/>
    </w:r>
    <w:r>
      <w:rPr>
        <w:rFonts w:cs="宋体" w:ascii="宋体" w:hAnsi="宋体"/>
        <w:sz w:val="28"/>
        <w:szCs w:val="28"/>
      </w:rPr>
      <w:t>2</w:t>
    </w:r>
    <w:r>
      <w:rPr>
        <w:rFonts w:cs="宋体" w:ascii="宋体" w:hAnsi="宋体"/>
        <w:sz w:val="28"/>
        <w:szCs w:val="28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0" w:firstLine="0" w:startChars="0" w:start="0" w:endChars="100"/>
      <w:jc w:val="end"/>
      <w:rPr>
        <w:rFonts w:ascii="宋体" w:hAnsi="宋体" w:cs="宋体"/>
        <w:sz w:val="28"/>
        <w:szCs w:val="28"/>
      </w:rPr>
    </w:pPr>
    <w:r>
      <w:rPr>
        <w:rFonts w:cs="宋体" w:ascii="宋体" w:hAnsi="宋体"/>
        <w:sz w:val="28"/>
        <w:szCs w:val="28"/>
      </w:rPr>
      <w:fldChar w:fldCharType="begin"/>
    </w:r>
    <w:r>
      <w:rPr>
        <w:rFonts w:cs="宋体" w:ascii="宋体" w:hAnsi="宋体"/>
        <w:sz w:val="28"/>
        <w:szCs w:val="28"/>
      </w:rPr>
      <w:instrText xml:space="preserve"> PAGE </w:instrText>
    </w:r>
    <w:r>
      <w:rPr>
        <w:rFonts w:cs="宋体" w:ascii="宋体" w:hAnsi="宋体"/>
        <w:sz w:val="28"/>
        <w:szCs w:val="28"/>
      </w:rPr>
      <w:fldChar w:fldCharType="separate"/>
    </w:r>
    <w:r>
      <w:rPr>
        <w:rFonts w:cs="宋体" w:ascii="宋体" w:hAnsi="宋体"/>
        <w:sz w:val="28"/>
        <w:szCs w:val="28"/>
      </w:rPr>
      <w:t>3</w:t>
    </w:r>
    <w:r>
      <w:rPr>
        <w:rFonts w:cs="宋体" w:ascii="宋体" w:hAnsi="宋体"/>
        <w:sz w:val="28"/>
        <w:szCs w:val="28"/>
      </w:rPr>
      <w:fldChar w:fldCharType="end"/>
    </w:r>
  </w:p>
</w:ftr>
</file>

<file path=word/settings.xml><?xml version="1.0" encoding="utf-8"?>
<w:settings xmlns:w="http://schemas.openxmlformats.org/wordprocessingml/2006/main">
  <w:zoom w:percent="6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Char">
    <w:name w:val="页眉 Char Char"/>
    <w:basedOn w:val="Style14"/>
    <w:qFormat/>
    <w:rPr>
      <w:kern w:val="2"/>
      <w:sz w:val="18"/>
      <w:szCs w:val="18"/>
    </w:rPr>
  </w:style>
  <w:style w:type="character" w:styleId="CharChar1">
    <w:name w:val="页脚 Char Char"/>
    <w:basedOn w:val="Style14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普通(网站)"/>
    <w:basedOn w:val="Normal"/>
    <w:qFormat/>
    <w:pPr>
      <w:widowControl/>
      <w:spacing w:before="280" w:after="280"/>
      <w:jc w:val="start"/>
    </w:pPr>
    <w:rPr>
      <w:rFonts w:ascii="宋体" w:hAnsi="宋体" w:cs="宋体"/>
      <w:color w:val="000000"/>
      <w:kern w:val="0"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kern w:val="2"/>
      <w:sz w:val="18"/>
      <w:szCs w:val="18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2016-03-04T13:06:00Z</dcterms:created>
  <dc:creator>微软中国</dc:creator>
  <dc:description/>
  <dc:language>en-US</dc:language>
  <cp:lastModifiedBy>lenovoe40</cp:lastModifiedBy>
  <dcterms:modified xsi:type="dcterms:W3CDTF">2017-02-13T20:55:38Z</dcterms:modified>
  <cp:revision>3</cp:revision>
  <dc:subject/>
  <dc:title>西藏自治区人民代表大会常务委员会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2052-8.1.0.3199</vt:lpwstr>
  </property>
</Properties>
</file>