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
        <w:rPr>
          <w:rFonts w:ascii="宋体;SimSun" w:hAnsi="宋体;SimSun" w:cs="宋体;SimSun" w:hint="eastAsia"/>
          <w:sz w:val="32"/>
          <w:szCs w:val="32"/>
          <w:lang w:val="zh-CN"/>
        </w:rPr>
      </w:pPr>
      <w:r>
        <w:rPr>
          <w:rFonts w:cs="宋体;SimSun" w:hint="eastAsia" w:ascii="宋体;SimSun" w:hAnsi="宋体;SimSun"/>
          <w:sz w:val="32"/>
          <w:szCs w:val="32"/>
          <w:lang w:val="zh-CN"/>
        </w:rPr>
      </w:r>
    </w:p>
    <w:p>
      <w:pPr>
        <w:pStyle w:val="Normal"/>
        <w:jc w:val="center"/>
        <w:rPr>
          <w:rFonts w:ascii="宋体;SimSun" w:hAnsi="宋体;SimSun" w:cs="宋体;SimSun" w:hint="eastAsia"/>
          <w:color w:val="000000"/>
          <w:kern w:val="0"/>
          <w:sz w:val="44"/>
          <w:szCs w:val="44"/>
        </w:rPr>
      </w:pPr>
      <w:r>
        <w:rPr>
          <w:rFonts w:ascii="宋体;SimSun" w:hAnsi="宋体;SimSun" w:cs="宋体;SimSun" w:hint="eastAsia"/>
          <w:bCs/>
          <w:color w:val="000000"/>
          <w:kern w:val="0"/>
          <w:sz w:val="44"/>
          <w:szCs w:val="44"/>
        </w:rPr>
        <w:t>西藏自治区人民代表大会常务委员会关于严厉打击“赔命金”违法犯罪行为的决定</w:t>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SimSun" w:hAnsi="宋体;SimSun" w:cs="仿宋" w:hint="eastAsia"/>
          <w:bCs/>
          <w:color w:val="000000"/>
          <w:kern w:val="2"/>
          <w:sz w:val="32"/>
          <w:szCs w:val="32"/>
        </w:rPr>
      </w:pPr>
      <w:r>
        <w:rPr>
          <w:rFonts w:cs="仿宋" w:hint="eastAsia" w:ascii="宋体;SimSun" w:hAnsi="宋体;SimSun"/>
          <w:bCs/>
          <w:color w:val="000000"/>
          <w:kern w:val="2"/>
          <w:sz w:val="32"/>
          <w:szCs w:val="32"/>
        </w:rPr>
      </w:r>
    </w:p>
    <w:p>
      <w:pPr>
        <w:pStyle w:val="Normal"/>
        <w:widowControl/>
        <w:tabs>
          <w:tab w:val="clear" w:pos="420"/>
          <w:tab w:val="left" w:pos="7920" w:leader="none"/>
        </w:tabs>
        <w:spacing w:lineRule="exact" w:line="576"/>
        <w:ind w:firstLineChars="0" w:firstLine="0" w:startChars="300" w:endChars="350"/>
        <w:rPr>
          <w:rFonts w:ascii="楷体_GB2312" w:hAnsi="楷体_GB2312" w:eastAsia="楷体_GB2312" w:cs="方正仿宋简体" w:hint="eastAsia"/>
          <w:sz w:val="32"/>
        </w:rPr>
      </w:pPr>
      <w:r>
        <w:rPr>
          <w:rFonts w:eastAsia="楷体_GB2312" w:cs="方正仿宋简体" w:hint="eastAsia" w:ascii="楷体_GB2312" w:hAnsi="楷体_GB2312"/>
          <w:sz w:val="32"/>
        </w:rPr>
        <w:t>(2002</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7</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26</w:t>
      </w:r>
      <w:r>
        <w:rPr>
          <w:rFonts w:ascii="楷体_GB2312" w:hAnsi="楷体_GB2312" w:cs="方正仿宋简体" w:hint="eastAsia" w:eastAsia="楷体_GB2312"/>
          <w:sz w:val="32"/>
        </w:rPr>
        <w:t xml:space="preserve">日西藏自治区第七届人民代表大会常务委员会第二十七次会议通过  </w:t>
      </w:r>
      <w:r>
        <w:rPr>
          <w:rFonts w:eastAsia="楷体_GB2312" w:cs="方正仿宋简体" w:hint="eastAsia" w:ascii="楷体_GB2312" w:hAnsi="楷体_GB2312"/>
          <w:sz w:val="32"/>
        </w:rPr>
        <w:t>2010</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7</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30</w:t>
      </w:r>
      <w:r>
        <w:rPr>
          <w:rFonts w:ascii="楷体_GB2312" w:hAnsi="楷体_GB2312" w:cs="方正仿宋简体" w:hint="eastAsia" w:eastAsia="楷体_GB2312"/>
          <w:sz w:val="32"/>
        </w:rPr>
        <w:t xml:space="preserve">日西藏自治区第九届人民代表大会常务委员会第十七次会议修正  </w:t>
      </w:r>
      <w:r>
        <w:rPr>
          <w:rFonts w:eastAsia="楷体_GB2312" w:cs="方正仿宋简体" w:hint="eastAsia" w:ascii="楷体_GB2312" w:hAnsi="楷体_GB2312"/>
          <w:sz w:val="32"/>
        </w:rPr>
        <w:t>2018</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3</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30</w:t>
      </w:r>
      <w:r>
        <w:rPr>
          <w:rFonts w:ascii="楷体_GB2312" w:hAnsi="楷体_GB2312" w:cs="方正仿宋简体" w:hint="eastAsia" w:eastAsia="楷体_GB2312"/>
          <w:sz w:val="32"/>
        </w:rPr>
        <w:t>日西藏自治区第十一届人民代表大会常务委员会第二次会议修正</w:t>
      </w:r>
      <w:r>
        <w:rPr>
          <w:rFonts w:eastAsia="楷体_GB2312" w:cs="方正仿宋简体" w:hint="eastAsia" w:ascii="楷体_GB2312" w:hAnsi="楷体_GB2312"/>
          <w:sz w:val="32"/>
        </w:rPr>
        <w:t>)</w:t>
      </w:r>
    </w:p>
    <w:p>
      <w:pPr>
        <w:pStyle w:val="Normal"/>
        <w:widowControl/>
        <w:spacing w:lineRule="exact" w:line="576"/>
        <w:jc w:val="center"/>
        <w:rPr>
          <w:rFonts w:ascii="方正楷体简体" w:hAnsi="方正楷体简体" w:eastAsia="方正楷体简体" w:cs="方正楷体简体" w:hint="eastAsia"/>
          <w:color w:val="000000"/>
          <w:kern w:val="0"/>
          <w:sz w:val="32"/>
          <w:szCs w:val="32"/>
        </w:rPr>
      </w:pPr>
      <w:r>
        <w:rPr>
          <w:rFonts w:eastAsia="方正楷体简体" w:cs="方正楷体简体" w:hint="eastAsia" w:ascii="方正楷体简体" w:hAnsi="方正楷体简体"/>
          <w:color w:val="000000"/>
          <w:kern w:val="0"/>
          <w:sz w:val="32"/>
          <w:szCs w:val="32"/>
        </w:rPr>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赔命金”是旧西藏政教合一封建农奴制法律的内容，</w:t>
      </w:r>
      <w:r>
        <w:rPr>
          <w:rFonts w:eastAsia="仿宋_GB2312" w:cs="方正仿宋简体" w:hint="eastAsia" w:ascii="仿宋_GB2312" w:hAnsi="仿宋_GB2312"/>
          <w:sz w:val="32"/>
          <w:lang w:val="zh-CN"/>
        </w:rPr>
        <w:t>1959</w:t>
      </w:r>
      <w:r>
        <w:rPr>
          <w:rFonts w:ascii="仿宋_GB2312" w:hAnsi="仿宋_GB2312" w:cs="方正仿宋简体" w:hint="eastAsia" w:eastAsia="仿宋_GB2312"/>
          <w:sz w:val="32"/>
          <w:lang w:val="zh-CN"/>
        </w:rPr>
        <w:t>年平叛、民主改革后，随着政教合一封建农奴制度的灭亡，已被彻底废止。但近年来，我区少数偏远地方相继出现了“帕措”等封建宗族势力和少数僧尼操纵、参与“赔命金”的违法犯罪活动。这种违法犯罪行为，干预司法、损害群众利益，危害基层政权、经济建设和局势稳定，严重破坏了社会主义法制的统一和尊严，是对国家司法权的严重侵害。为了坚决禁止、严厉打击“赔命金”违法犯罪活动，特作如下决定：</w:t>
      </w:r>
    </w:p>
    <w:p>
      <w:pPr>
        <w:pStyle w:val="Normal"/>
        <w:spacing w:lineRule="exact" w:line="576"/>
        <w:ind w:firstLineChars="200" w:startChars="0" w:start="0" w:endChars="0" w:end="0"/>
        <w:rPr/>
      </w:pPr>
      <w:r>
        <w:rPr>
          <w:rFonts w:ascii="仿宋_GB2312" w:hAnsi="仿宋_GB2312" w:cs="方正仿宋简体" w:hint="eastAsia" w:eastAsia="仿宋_GB2312"/>
          <w:sz w:val="32"/>
          <w:lang w:val="zh-CN"/>
        </w:rPr>
        <w:t>一、坚决禁止、严厉打击“赔命金”违法犯罪行为，维护国家法律尊严。认清“赔命金”违法犯罪行为的社会危害性。对操纵、参与“赔命金”活动，欺压群众，敲诈勒索等违法犯罪行为，要集中力量，坚决打击、专项治理。</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二、坚持打击少数、争取多数的原则。对参与“赔命金”违法犯罪活动的，区别不同情况，依法处理：</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具有非法占有财物的目的，采取威胁、要挟等手段强行索要“赔命金”的，依照《中华人民共和国刑法》第二百七十四条敲诈勒索罪，追究刑事责任。</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为掩盖犯罪事实、逃避法律制裁，被告人或其亲属贿买</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赔偿“赔命金”</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，阻止证人作证或者指使他人作伪证；收受被告方的“赔命金”，帮助其毁灭、伪造证据，情节严重的，依照《中华人民共和国刑法》第三百零七条妨害作证罪，帮助毁灭、伪造证据罪分别追究刑事责任。</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为帮助犯罪的人逃避法律制裁，收受其财物</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赔命金”</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，为其提供隐藏处所、财物，帮助其逃匿或者作假证明包庇的，依照《中华人民共和国刑法》第三百一十条窝藏、包庇罪，追究刑事责任。</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对参与“赔命金”违法活动，尚不构成犯罪的，依照《中华人民共和国治安管理处罚法》有关规定处罚。</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三、对“帕措”等封建宗族势力和少数僧尼操纵、参与“赔命金”违法犯罪活动，干预行政、司法事务的，坚决依法打击。</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四、审判、检察、公安机关在受理刑事案件时，应根据《中华人民共和国刑事诉讼法》第九十九条第一款“被害人由于被告人的犯罪行为而遭受物质损失的，在刑事诉讼过程中，有权提起附带民事诉讼”的规定，明确告知被害方享有刑事附带民事诉讼的权利，被害方放弃民事赔偿权利，索要“赔命金”的行为是违法的，一旦发生将依法制裁。</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审判、检察、公安机关受理刑事案件时，对有“赔命金”违法犯罪行为的，依照本决定第二条的规定依法追究当事人的刑事、行政责任。</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五、对索要或赔偿“赔命金”的违法犯罪行为，应当检举揭发，司法机关对检举揭发人应当予以保护。</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六、各级人民政府和司法机关要进一步加强法制宣传教育，增强公民的法制观念和依法维护自身合法权益的意识，使公民认识到“赔命金”行为的违法性和危害性，“赔命金”是不能替代刑事法律制裁的，无论是否支付了“赔命金”，对于构成犯罪的行为，仍然应当依法追究刑事责任；对行为人刑事责任的追究，也不能替代其应当承担的民事责任，在依法追究行为人的刑事责任时，被害方仍然可以对犯罪行为给自己造成的损害要求赔偿。通过法定程序进行的损害赔偿是受法律保护的，索要或赔偿“赔命金”的行为是违法的，不受法律保护。</w:t>
      </w:r>
    </w:p>
    <w:p>
      <w:pPr>
        <w:pStyle w:val="Normal"/>
        <w:rPr>
          <w:rFonts w:ascii="仿宋_GB2312" w:hAnsi="仿宋_GB2312" w:eastAsia="仿宋_GB2312" w:cs="方正仿宋简体" w:hint="eastAsia"/>
          <w:sz w:val="32"/>
          <w:lang w:val="zh-CN"/>
        </w:rPr>
      </w:pPr>
      <w:r>
        <w:rPr>
          <w:rFonts w:eastAsia="仿宋_GB2312" w:cs="方正仿宋简体" w:hint="eastAsia" w:ascii="仿宋_GB2312" w:hAnsi="仿宋_GB2312"/>
          <w:sz w:val="32"/>
          <w:lang w:val="zh-CN"/>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仿宋简体">
    <w:charset w:val="86"/>
    <w:family w:val="script"/>
    <w:pitch w:val="default"/>
  </w:font>
  <w:font w:name="Calibri">
    <w:charset w:val="00" w:characterSet="windows-1252"/>
    <w:family w:val="swiss"/>
    <w:pitch w:val="variable"/>
  </w:font>
  <w:font w:name="楷体_GB2312">
    <w:charset w:val="86"/>
    <w:family w:val="modern"/>
    <w:pitch w:val="default"/>
  </w:font>
  <w:font w:name="方正楷体简体">
    <w:charset w:val="86"/>
    <w:family w:val="script"/>
    <w:pitch w:val="default"/>
  </w:font>
  <w:font w:name="仿宋_GB2312">
    <w:charset w:val="86"/>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ew">
    <w:name w:val="普通(网站) New"/>
    <w:basedOn w:val="Normal"/>
    <w:qFormat/>
    <w:pPr>
      <w:widowControl/>
      <w:spacing w:before="280" w:after="280"/>
      <w:jc w:val="start"/>
    </w:pPr>
    <w:rPr>
      <w:rFonts w:ascii="宋体;SimSun" w:hAnsi="宋体;SimSun" w:cs="宋体;SimSun"/>
      <w:kern w:val="0"/>
      <w:sz w:val="24"/>
      <w:szCs w:val="24"/>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SimSun" w:hAnsi="宋体;SimSun" w:cs="宋体;SimSun"/>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2018-04-16T17:53:00Z</dcterms:created>
  <dc:creator>ad</dc:creator>
  <dc:description/>
  <cp:keywords/>
  <dc:language>en-US</dc:language>
  <cp:lastModifiedBy>ad</cp:lastModifiedBy>
  <dcterms:modified xsi:type="dcterms:W3CDTF">2018-04-16T17:53:00Z</dcterms:modified>
  <cp:revision>2</cp:revision>
  <dc:subject/>
  <dc:title>藏常备〔2018〕3号  总第3号</dc:title>
</cp:coreProperties>
</file>