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20"/>
        <w:ind w:firstLineChars="0" w:firstLine="0" w:startChars="0" w:start="0" w:endChars="0" w:end="0"/>
        <w:jc w:val="center"/>
        <w:textAlignment w:val="auto"/>
        <w:rPr>
          <w:rFonts w:ascii="华文中宋" w:hAnsi="华文中宋" w:eastAsia="华文中宋" w:cs="宋体"/>
          <w:sz w:val="36"/>
          <w:szCs w:val="36"/>
        </w:rPr>
      </w:pPr>
      <w:r>
        <w:rPr>
          <w:rFonts w:ascii="华文中宋" w:hAnsi="华文中宋" w:cs="宋体" w:hint="eastAsia" w:eastAsia="华文中宋"/>
          <w:sz w:val="36"/>
          <w:szCs w:val="36"/>
        </w:rPr>
        <w:t>最高人民法院</w:t>
      </w:r>
    </w:p>
    <w:p>
      <w:pPr>
        <w:pStyle w:val="Style17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20"/>
        <w:ind w:firstLineChars="0" w:firstLine="0" w:startChars="0" w:start="0" w:endChars="0" w:end="0"/>
        <w:jc w:val="center"/>
        <w:textAlignment w:val="auto"/>
        <w:rPr>
          <w:rFonts w:ascii="华文中宋" w:hAnsi="华文中宋" w:eastAsia="华文中宋" w:cs="宋体" w:hint="eastAsia"/>
          <w:sz w:val="36"/>
          <w:szCs w:val="36"/>
        </w:rPr>
      </w:pPr>
      <w:r>
        <w:rPr>
          <w:rFonts w:ascii="华文中宋" w:hAnsi="华文中宋" w:cs="宋体" w:hint="eastAsia" w:eastAsia="华文中宋"/>
          <w:sz w:val="36"/>
          <w:szCs w:val="36"/>
        </w:rPr>
        <w:t>关于确定民事侵权精神损害赔偿责任若干问题的解释</w:t>
      </w:r>
    </w:p>
    <w:p>
      <w:pPr>
        <w:pStyle w:val="Style17"/>
        <w:spacing w:lineRule="exact" w:line="520"/>
        <w:ind w:firstLineChars="200" w:startChars="0" w:start="0" w:endChars="0" w:end="0"/>
        <w:jc w:val="center"/>
        <w:rPr>
          <w:rFonts w:ascii="华文中宋" w:hAnsi="华文中宋" w:eastAsia="华文中宋" w:cs="宋体" w:hint="eastAsia"/>
          <w:sz w:val="36"/>
          <w:szCs w:val="36"/>
        </w:rPr>
      </w:pPr>
      <w:r>
        <w:rPr>
          <w:rFonts w:eastAsia="华文中宋" w:cs="宋体" w:hint="eastAsia" w:ascii="华文中宋" w:hAnsi="华文中宋"/>
          <w:sz w:val="36"/>
          <w:szCs w:val="36"/>
        </w:rPr>
      </w:r>
    </w:p>
    <w:p>
      <w:pPr>
        <w:pStyle w:val="Style17"/>
        <w:spacing w:lineRule="exact" w:line="520"/>
        <w:ind w:firstLineChars="200" w:startChars="0" w:start="0" w:endChars="0" w:end="0"/>
        <w:jc w:val="center"/>
        <w:rPr>
          <w:rFonts w:ascii="仿宋_GB2312" w:hAnsi="仿宋_GB2312" w:eastAsia="仿宋_GB2312" w:cs="宋体" w:hint="eastAsia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</w:t>
      </w:r>
      <w:r>
        <w:rPr>
          <w:rFonts w:eastAsia="仿宋_GB2312" w:cs="宋体" w:hint="eastAsia" w:ascii="仿宋_GB2312" w:hAnsi="仿宋_GB2312"/>
          <w:sz w:val="30"/>
          <w:szCs w:val="30"/>
        </w:rPr>
        <w:t>2001</w:t>
      </w:r>
      <w:r>
        <w:rPr>
          <w:rFonts w:ascii="仿宋_GB2312" w:hAnsi="仿宋_GB2312" w:cs="宋体" w:hint="eastAsia" w:eastAsia="仿宋_GB2312"/>
          <w:sz w:val="30"/>
          <w:szCs w:val="30"/>
        </w:rPr>
        <w:t>年</w:t>
      </w:r>
      <w:r>
        <w:rPr>
          <w:rFonts w:eastAsia="仿宋_GB2312" w:cs="宋体" w:hint="eastAsia" w:ascii="仿宋_GB2312" w:hAnsi="仿宋_GB2312"/>
          <w:sz w:val="30"/>
          <w:szCs w:val="30"/>
        </w:rPr>
        <w:t>2</w:t>
      </w:r>
      <w:r>
        <w:rPr>
          <w:rFonts w:ascii="仿宋_GB2312" w:hAnsi="仿宋_GB2312" w:cs="宋体" w:hint="eastAsia" w:eastAsia="仿宋_GB2312"/>
          <w:sz w:val="30"/>
          <w:szCs w:val="30"/>
        </w:rPr>
        <w:t>月</w:t>
      </w:r>
      <w:r>
        <w:rPr>
          <w:rFonts w:eastAsia="仿宋_GB2312" w:cs="宋体" w:hint="eastAsia" w:ascii="仿宋_GB2312" w:hAnsi="仿宋_GB2312"/>
          <w:sz w:val="30"/>
          <w:szCs w:val="30"/>
        </w:rPr>
        <w:t>26</w:t>
      </w:r>
      <w:r>
        <w:rPr>
          <w:rFonts w:ascii="仿宋_GB2312" w:hAnsi="仿宋_GB2312" w:cs="宋体" w:hint="eastAsia" w:eastAsia="仿宋_GB2312"/>
          <w:sz w:val="30"/>
          <w:szCs w:val="30"/>
        </w:rPr>
        <w:t>日最高人民法院审判委员会第</w:t>
      </w:r>
      <w:r>
        <w:rPr>
          <w:rFonts w:eastAsia="仿宋_GB2312" w:cs="宋体" w:hint="eastAsia" w:ascii="仿宋_GB2312" w:hAnsi="仿宋_GB2312"/>
          <w:sz w:val="30"/>
          <w:szCs w:val="30"/>
        </w:rPr>
        <w:t>1161</w:t>
      </w:r>
      <w:r>
        <w:rPr>
          <w:rFonts w:ascii="仿宋_GB2312" w:hAnsi="仿宋_GB2312" w:cs="宋体" w:hint="eastAsia" w:eastAsia="仿宋_GB2312"/>
          <w:sz w:val="30"/>
          <w:szCs w:val="30"/>
        </w:rPr>
        <w:t>次会议通过，根据</w:t>
      </w:r>
      <w:r>
        <w:rPr>
          <w:rFonts w:eastAsia="仿宋_GB2312" w:cs="宋体" w:hint="eastAsia" w:ascii="仿宋_GB2312" w:hAnsi="仿宋_GB2312"/>
          <w:sz w:val="30"/>
          <w:szCs w:val="30"/>
        </w:rPr>
        <w:t>2020</w:t>
      </w:r>
      <w:r>
        <w:rPr>
          <w:rFonts w:ascii="仿宋_GB2312" w:hAnsi="仿宋_GB2312" w:cs="宋体" w:hint="eastAsia" w:eastAsia="仿宋_GB2312"/>
          <w:sz w:val="30"/>
          <w:szCs w:val="30"/>
        </w:rPr>
        <w:t>年</w:t>
      </w:r>
      <w:r>
        <w:rPr>
          <w:rFonts w:eastAsia="仿宋_GB2312" w:cs="宋体" w:hint="eastAsia" w:ascii="仿宋_GB2312" w:hAnsi="仿宋_GB2312"/>
          <w:sz w:val="30"/>
          <w:szCs w:val="30"/>
        </w:rPr>
        <w:t>12</w:t>
      </w:r>
      <w:r>
        <w:rPr>
          <w:rFonts w:ascii="仿宋_GB2312" w:hAnsi="仿宋_GB2312" w:cs="宋体" w:hint="eastAsia" w:eastAsia="仿宋_GB2312"/>
          <w:sz w:val="30"/>
          <w:szCs w:val="30"/>
        </w:rPr>
        <w:t>月</w:t>
      </w:r>
      <w:r>
        <w:rPr>
          <w:rFonts w:eastAsia="仿宋_GB2312" w:cs="宋体" w:hint="eastAsia" w:ascii="仿宋_GB2312" w:hAnsi="仿宋_GB2312"/>
          <w:sz w:val="30"/>
          <w:szCs w:val="30"/>
        </w:rPr>
        <w:t>23</w:t>
      </w:r>
      <w:r>
        <w:rPr>
          <w:rFonts w:ascii="仿宋_GB2312" w:hAnsi="仿宋_GB2312" w:cs="宋体" w:hint="eastAsia" w:eastAsia="仿宋_GB2312"/>
          <w:sz w:val="30"/>
          <w:szCs w:val="30"/>
        </w:rPr>
        <w:t>日最高人民法院审判委员会第</w:t>
      </w:r>
      <w:r>
        <w:rPr>
          <w:rFonts w:eastAsia="仿宋_GB2312" w:cs="宋体" w:hint="eastAsia" w:ascii="仿宋_GB2312" w:hAnsi="仿宋_GB2312"/>
          <w:sz w:val="30"/>
          <w:szCs w:val="30"/>
        </w:rPr>
        <w:t>1823</w:t>
      </w:r>
      <w:r>
        <w:rPr>
          <w:rFonts w:ascii="仿宋_GB2312" w:hAnsi="仿宋_GB2312" w:cs="宋体" w:hint="eastAsia" w:eastAsia="仿宋_GB2312"/>
          <w:sz w:val="30"/>
          <w:szCs w:val="30"/>
        </w:rPr>
        <w:t>次会议通过的《最高人民法院关于修改〈最高人民法院关于在民事审判工作中适用《中华人民共和国工会法》若干问题的解释〉等二十七件民事类司法解释的决定》修正）</w:t>
      </w:r>
    </w:p>
    <w:p>
      <w:pPr>
        <w:pStyle w:val="Style17"/>
        <w:spacing w:lineRule="exact" w:line="520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eastAsia="仿宋_GB2312" w:cs="宋体" w:hint="eastAsia" w:ascii="仿宋_GB2312" w:hAnsi="仿宋_GB2312"/>
          <w:sz w:val="32"/>
          <w:szCs w:val="32"/>
        </w:rPr>
      </w:r>
    </w:p>
    <w:p>
      <w:pPr>
        <w:pStyle w:val="Style17"/>
        <w:spacing w:lineRule="exact" w:line="520"/>
        <w:ind w:firstLineChars="200" w:startChars="0" w:start="0" w:endChars="0" w:end="0"/>
        <w:rPr>
          <w:rFonts w:ascii="仿宋_GB2312" w:hAnsi="仿宋_GB2312" w:eastAsia="仿宋_GB2312" w:cs="宋体" w:hint="eastAsia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为在审理民事侵权案件中正确确定精神损害赔偿责任，根据《中华人民共和国民法典》等有关法律规定，结合审判实践，制定本解释。</w:t>
      </w:r>
    </w:p>
    <w:p>
      <w:pPr>
        <w:pStyle w:val="Style17"/>
        <w:spacing w:lineRule="exact" w:line="520"/>
        <w:ind w:firstLineChars="200" w:startChars="0" w:start="0" w:endChars="0" w:end="0"/>
        <w:rPr>
          <w:rFonts w:ascii="仿宋_GB2312" w:hAnsi="仿宋_GB2312" w:eastAsia="仿宋_GB2312" w:cs="宋体" w:hint="eastAsia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第一条　因人身权益或者具有人身意义的特定物受到侵害，自然人或者其近亲属向人民法院提起诉讼请求精神损害赔偿的，人民法院应当依法予以受理。</w:t>
      </w:r>
    </w:p>
    <w:p>
      <w:pPr>
        <w:pStyle w:val="Style17"/>
        <w:spacing w:lineRule="exact" w:line="520"/>
        <w:ind w:firstLineChars="200" w:startChars="0" w:start="0" w:endChars="0" w:end="0"/>
        <w:rPr>
          <w:rFonts w:ascii="仿宋_GB2312" w:hAnsi="仿宋_GB2312" w:eastAsia="仿宋_GB2312" w:cs="宋体" w:hint="eastAsia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第二条　非法使被监护人脱离监护，导致亲子关系或者近亲属间的亲属关系遭受严重损害，监护人向人民法院起诉请求赔偿精神损害的，人民法院应当依法予以受理。</w:t>
      </w:r>
    </w:p>
    <w:p>
      <w:pPr>
        <w:pStyle w:val="Style17"/>
        <w:spacing w:lineRule="exact" w:line="520"/>
        <w:ind w:firstLineChars="200" w:startChars="0" w:start="0" w:endChars="0" w:end="0"/>
        <w:rPr>
          <w:rFonts w:ascii="仿宋_GB2312" w:hAnsi="仿宋_GB2312" w:eastAsia="仿宋_GB2312" w:cs="宋体" w:hint="eastAsia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第三条　死者的姓名、肖像、名誉、荣誉、隐私、遗体、遗骨等受到侵害，其近亲属向人民法院提起诉讼请求精神损害赔偿的，人民法院应当依法予以支持。</w:t>
      </w:r>
    </w:p>
    <w:p>
      <w:pPr>
        <w:pStyle w:val="Style17"/>
        <w:spacing w:lineRule="exact" w:line="520"/>
        <w:ind w:firstLineChars="200" w:startChars="0" w:start="0" w:endChars="0" w:end="0"/>
        <w:rPr>
          <w:rFonts w:ascii="仿宋_GB2312" w:hAnsi="仿宋_GB2312" w:eastAsia="仿宋_GB2312" w:cs="宋体" w:hint="eastAsia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第四条　法人或者非法人组织以名誉权、荣誉权、名称权遭受侵害为由，向人民法院起诉请求精神损害赔偿的，人民法院不予支持。</w:t>
      </w:r>
    </w:p>
    <w:p>
      <w:pPr>
        <w:pStyle w:val="Style17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第五条　精神损害的赔偿数额根据以下因素确定：</w:t>
      </w:r>
    </w:p>
    <w:p>
      <w:pPr>
        <w:pStyle w:val="Style17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（一）侵权人的过错程度，但是法律另有规定的除外；</w:t>
      </w:r>
    </w:p>
    <w:p>
      <w:pPr>
        <w:pStyle w:val="Style17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（二）侵权行为的目的、方式、场合等具体情节；</w:t>
      </w:r>
    </w:p>
    <w:p>
      <w:pPr>
        <w:pStyle w:val="Style17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（三）侵权行为所造成的后果；</w:t>
      </w:r>
    </w:p>
    <w:p>
      <w:pPr>
        <w:pStyle w:val="Style17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（四）侵权人的获利情况；</w:t>
      </w:r>
    </w:p>
    <w:p>
      <w:pPr>
        <w:pStyle w:val="Style17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（五）侵权人承担责任的经济能力；</w:t>
      </w:r>
    </w:p>
    <w:p>
      <w:pPr>
        <w:pStyle w:val="Style17"/>
        <w:spacing w:lineRule="exact" w:line="520"/>
        <w:ind w:firstLineChars="200" w:startChars="0" w:start="0" w:endChars="0" w:end="0"/>
        <w:rPr>
          <w:rFonts w:ascii="仿宋_GB2312" w:hAnsi="仿宋_GB2312" w:eastAsia="仿宋_GB2312" w:cs="宋体" w:hint="eastAsia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（六）受理诉讼法院所在地的平均生活水平。</w:t>
      </w:r>
    </w:p>
    <w:p>
      <w:pPr>
        <w:pStyle w:val="Style17"/>
        <w:spacing w:lineRule="exact" w:line="520"/>
        <w:ind w:firstLineChars="200" w:startChars="0" w:start="0" w:endChars="0" w:end="0"/>
        <w:rPr/>
      </w:pPr>
      <w:r>
        <w:rPr>
          <w:rFonts w:ascii="仿宋_GB2312" w:hAnsi="仿宋_GB2312" w:cs="宋体" w:hint="eastAsia" w:eastAsia="仿宋_GB2312"/>
          <w:sz w:val="30"/>
          <w:szCs w:val="30"/>
        </w:rPr>
        <w:t>第六条　在本解释公布施行之前已经生效施行的司法解释，其内容有与本解释不一致的，以本解释为准。</w:t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start="0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华文中宋">
    <w:charset w:val="86"/>
    <w:family w:val="auto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批注框文本 Char"/>
    <w:basedOn w:val="Style14"/>
    <w:qFormat/>
    <w:rPr>
      <w:kern w:val="2"/>
      <w:sz w:val="18"/>
      <w:szCs w:val="18"/>
    </w:rPr>
  </w:style>
  <w:style w:type="character" w:styleId="Char1">
    <w:name w:val="纯文本 Char"/>
    <w:basedOn w:val="Style14"/>
    <w:qFormat/>
    <w:rPr>
      <w:rFonts w:ascii="宋体" w:hAnsi="宋体" w:cs="Courier New"/>
      <w:kern w:val="2"/>
      <w:sz w:val="21"/>
      <w:szCs w:val="21"/>
    </w:rPr>
  </w:style>
  <w:style w:type="character" w:styleId="Char2">
    <w:name w:val="页眉 Char"/>
    <w:basedOn w:val="Style14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araCharCharCharCharCharCharChar">
    <w:name w:val="默认段落字体 Para Char Char Char Char Char Char Char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称呼"/>
    <w:basedOn w:val="Normal"/>
    <w:next w:val="Normal"/>
    <w:qFormat/>
    <w:pPr>
      <w:jc w:val="center"/>
    </w:pPr>
    <w:rPr>
      <w:rFonts w:eastAsia="楷体"/>
      <w:sz w:val="32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Style17">
    <w:name w:val="纯文本"/>
    <w:basedOn w:val="Normal"/>
    <w:qFormat/>
    <w:pPr/>
    <w:rPr>
      <w:rFonts w:ascii="宋体" w:hAnsi="宋体" w:cs="Courier New"/>
      <w:szCs w:val="21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17280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2021-03-02T14:37:00Z</dcterms:created>
  <dc:creator>Lenovo User</dc:creator>
  <dc:description/>
  <dc:language>en-US</dc:language>
  <cp:lastModifiedBy>张晓光</cp:lastModifiedBy>
  <cp:lastPrinted>2014-04-03T17:04:00Z</cp:lastPrinted>
  <dcterms:modified xsi:type="dcterms:W3CDTF">2021-04-14T08:25:09Z</dcterms:modified>
  <cp:revision>15</cp:revision>
  <dc:subject/>
  <dc:title>《最高人民法院、最高人民检察院关于废止1980年1月1日至1997年6月30日期间制发的部分司法解释和司法解释性质文件的决定》已于2012年11月19日由最高人民法院审判委员会第1560次会议、2012年12月19日由最高人民检察院第十一届检察委员会第83次会议通过，现予公布，自2013年1月18日起施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