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关于审理民事案件适用诉讼时效制度</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若干问题的规定</w:t>
      </w:r>
    </w:p>
    <w:p>
      <w:pPr>
        <w:pStyle w:val="Style16"/>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6"/>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1450</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6"/>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为正确适用法律关于诉讼时效制度的规定，保护当事人的合法权益，依照《中华人民共和国民法典》《中华人民共和国民事诉讼法》等法律的规定，结合审判实践，制定本规定。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当事人可以对债权请求权提出诉讼时效抗辩，但对下列债权请求权提出诉讼时效抗辩的，人民法院不予支持：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（一）支付存款本金及利息请求权；</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（二）兑付国债、金融债券以及向不特定对象发行的企业债券本息请求权；</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（三）基于投资关系产生的缴付出资请求权；</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（四）其他依法不适用诉讼时效规定的债权请求权。</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当事人未提出诉讼时效抗辩，人民法院不应对诉讼时效问题进行释明。</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当事人在一审期间未提出诉讼时效抗辩，在二审期间提出的，人民法院不予支持，但其基于新的证据能够证明对方当事人的请求权已过诉讼时效期间的情形除外。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当事人未按照前款规定提出诉讼时效抗辩，以诉讼时效期间届满为由申请再审或者提出再审抗辩的，人民法院不予支持。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未约定履行期限的合同，依照民法典第五百一十条、第五百一十一条的规定，可以确定履行期限的，诉讼时效期间从履行期限届满之日起计算；不能确定履行期限的，诉讼时效期间从债权人要求债务人履行义务的宽限期届满之日起计算，但债务人在债权人第一次向其主张权利之时明确表示不履行义务的，诉讼时效期间从债务人明确表示不履行义务之日起计算。</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享有撤销权的当事人一方请求撤销合同的，应适用民法典关于除斥期间的规定。对方当事人对撤销合同请求权提出诉讼时效抗辩的，人民法院不予支持。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合同被撤销，返还财产、赔偿损失请求权的诉讼时效期间从合同被撤销之日起计算。</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第六条　返还不当得利请求权的诉讼时效期间，从当事人一方知道或者应当知道不当得利事实及对方当事人之日起计算。</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管理人因无因管理行为产生的给付必要管理费用、赔偿损失请求权的诉讼时效期间，从无因管理行为结束并且管理人知道或者应当知道本人之日起计算。</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本人因不当无因管理行为产生的赔偿损失请求权的诉讼时效期间，从其知道或者应当知道管理人及损害事实之日起计算。</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具有下列情形之一的，应当认定为民法典第一百九十五条规定的“权利人向义务人提出履行请求”，产生诉讼时效中断的效力：</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（一）当事人一方直接向对方当事人送交主张权利文书，对方当事人在文书上签名、盖章、按指印或者虽未签名、盖章、按指印但能够以其他方式证明该文书到达对方当事人的；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（二）当事人一方以发送信件或者数据电文方式主张权利，信件或者数据电文到达或者应当到达对方当事人的；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（三）当事人一方为金融机构，依照法律规定或者当事人约定从对方当事人账户中扣收欠款本息的；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（四）当事人一方下落不明，对方当事人在国家级或者下落不明的当事人一方住所地的省级有影响的媒体上刊登具有主张权利内容的公告的，但法律和司法解释另有特别规定的，适用其规定。</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第（一）项情形中，对方当事人为法人或者其他组织的，签收人可以是其法定代表人、主要负责人、负责收发信件的部门或者被授权主体；对方当事人为自然人的，签收人可以是自然人本人、同住的具有完全行为能力的亲属或者被授权主体。</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权利人对同一债权中的部分债权主张权利，诉讼时效中断的效力及于剩余债权，但权利人明确表示放弃剩余债权的情形除外。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当事人一方向人民法院提交起诉状或者口头起诉的，诉讼时效从提交起诉状或者口头起诉之日起中断。</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下列事项之一，人民法院应当认定与提起诉讼具有同等诉讼时效中断的效力：</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（一）申请支付令；</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（二）申请破产、申报破产债权；</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（三）为主张权利而申请宣告义务人失踪或死亡；</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（四）申请诉前财产保全、诉前临时禁令等诉前措施；</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（五）申请强制执行；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（六）申请追加当事人或者被通知参加诉讼；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（七）在诉讼中主张抵销；</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（八）其他与提起诉讼具有同等诉讼时效中断效力的事项。</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第十二条　权利人向人民调解委员会以及其他依法有权解决相关民事纠纷的国家机关、事业单位、社会团体等社会组织提出保护相应民事权利的请求，诉讼时效从提出请求之日起中断。</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权利人向公安机关、人民检察院、人民法院报案或者控告，请求保护其民事权利的，诉讼时效从其报案或者控告之日起中断。</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上述机关决定不立案、撤销案件、不起诉的，诉讼时效期间从权利人知道或者应当知道不立案、撤销案件或者不起诉之日起重新计算；刑事案件进入审理阶段，诉讼时效期间从刑事裁判文书生效之日起重新计算。</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第十四条　义务人作出分期履行、部分履行、提供担保、请求延期履行、制定清偿债务计划等承诺或者行为的，应当认定为民法典第一百九十五条规定的“义务人同意履行义务”。</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　对于连带债权人中的一人发生诉讼时效中断效力的事由，应当认定对其他连带债权人也发生诉讼时效中断的效力。</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对于连带债务人中的一人发生诉讼时效中断效力的事由，应当认定对其他连带债务人也发生诉讼时效中断的效力。</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债权人提起代位权诉讼的，应当认定对债权人的债权和债务人的债权均发生诉讼时效中断的效力。</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　债权转让的，应当认定诉讼时效从债权转让通知到达债务人之日起中断。</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债务承担情形下，构成原债务人对债务承认的，应当认定诉讼时效从债务承担意思表示到达债权人之日起中断。</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　主债务诉讼时效期间届满，保证人享有主债务人的诉讼时效抗辩权。</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保证人未主张前述诉讼时效抗辩权，承担保证责任后向主债务人行使追偿权的，人民法院不予支持，但主债务人同意给付的情形除外。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　诉讼时效期间届满，当事人一方向对方当事人作出同意履行义务的意思表示或者自愿履行义务后，又以诉讼时效期间届满为由进行抗辩的，人民法院不予支持。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当事人双方就原债务达成新的协议，债权人主张义务人放弃诉讼时效抗辩权的，人民法院应予支持。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超过诉讼时效期间，贷款人向借款人发出催收到期贷款通知单，债务人在通知单上签字或者盖章，能够认定借款人同意履行诉讼时效期间已经届满的义务的，对于贷款人关于借款人放弃诉讼时效抗辩权的主张，人民法院应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第二十条　本规定施行后，案件尚在一审或者二审阶段的，适用本规定；本规定施行前已经终审的案件，人民法院进行再审时，不适用本规定。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　本规定施行前本院作出的有关司法解释与本规定相抵触的，以本规定为准。</w:t>
      </w:r>
    </w:p>
    <w:p>
      <w:pPr>
        <w:pStyle w:val="Style16"/>
        <w:spacing w:lineRule="exact" w:line="520"/>
        <w:ind w:firstLineChars="200" w:startChars="0" w:start="0" w:endChars="0" w:end="0"/>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 w:hAnsi="宋体" w:cs="Courier New"/>
      <w:kern w:val="2"/>
      <w:sz w:val="21"/>
      <w:szCs w:val="21"/>
    </w:rPr>
  </w:style>
  <w:style w:type="character" w:styleId="Char1">
    <w:name w:val="页眉 Char"/>
    <w:basedOn w:val="Style14"/>
    <w:qFormat/>
    <w:rPr>
      <w:kern w:val="2"/>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Style17">
    <w:name w:val="称呼"/>
    <w:basedOn w:val="Normal"/>
    <w:next w:val="Normal"/>
    <w:qFormat/>
    <w:pPr>
      <w:jc w:val="center"/>
    </w:pPr>
    <w:rPr>
      <w:rFonts w:eastAsia="楷体"/>
      <w:sz w:val="32"/>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2021-04-14T08:26:47Z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