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关于审理民间借贷案件适用法律若干问题的规定</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2015</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6</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1655</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8</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18</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1809</w:t>
      </w:r>
      <w:r>
        <w:rPr>
          <w:rFonts w:ascii="仿宋_GB2312" w:hAnsi="仿宋_GB2312" w:cs="宋体" w:hint="eastAsia" w:eastAsia="仿宋_GB2312"/>
          <w:sz w:val="30"/>
          <w:szCs w:val="30"/>
        </w:rPr>
        <w:t>次会议通过的《最高人民法院关于修改〈关于审理民间借贷案件适用法律若干问题的规定〉的决定》第一次修正，根据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次会议通过的《最高人民法院关于修改〈最高人民法院关于在民事审判工作中适用《中华人民共和国工会法》若干问题的解释〉等二十七件民事类司法解释的决定》第二次修正）</w:t>
      </w:r>
    </w:p>
    <w:p>
      <w:pPr>
        <w:pStyle w:val="Style17"/>
        <w:spacing w:lineRule="exact" w:line="5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为正确审理民间借贷纠纷案件，根据《中华人民共和国民法典》《中华人民共和国民事诉讼法》《中华人民共和国刑事诉讼法》等相关法律之规定，结合审判实践，制定本规定。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　本规定所称的民间借贷，是指自然人、法人和非法人组织之间进行资金融通的行为。</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经金融监管部门批准设立的从事贷款业务的金融机构及其分支机构，因发放贷款等相关金融业务引发的纠纷，不适用本规定。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　出借人向人民法院提起民间借贷诉讼时，应当提供借据、收据、欠条等债权凭证以及其他能够证明借贷法律关系存在的证据。</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当事人持有的借据、收据、欠条等债权凭证没有载明债权人，持有债权凭证的当事人提起民间借贷诉讼的，人民法院应予受理。被告对原告的债权人资格提出有事实依据的抗辩，人民法院经审查认为原告不具有债权人资格的，裁定驳回起诉。</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第三条　借贷双方就合同履行地未约定或者约定不明确，事后未达成补充协议，按照合同相关条款或者交易习惯仍不能确定的，以接受货币一方所在地为合同履行地。</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　保证人为借款人提供连带责任保证，出借人仅起诉借款人的，人民法院可以不追加保证人为共同被告；出借人仅起诉保证人的，人民法院可以追加借款人为共同被告。</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保证人为借款人提供一般保证，出借人仅起诉保证人的，人民法院应当追加借款人为共同被告；出借人仅起诉借款人的，人民法院可以不追加保证人为共同被告。</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　人民法院立案后，发现民间借贷行为本身涉嫌非法集资等犯罪的，应当裁定驳回起诉，并将涉嫌非法集资等犯罪的线索、材料移送公安或者检察机关。</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公安或者检察机关不予立案，或者立案侦查后撤销案件，或者检察机关作出不起诉决定，或者经人民法院生效判决认定不构成非法集资等犯罪，当事人又以同一事实向人民法院提起诉讼的，人民法院应予受理。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第六条　人民法院立案后，发现与民间借贷纠纷案件虽有关联但不是同一事实的涉嫌非法集资等犯罪的线索、材料的，人民法院应当继续审理民间借贷纠纷案件，并将涉嫌非法集资等犯罪的线索、材料移送公安或者检察机关。</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第七条　民间借贷纠纷的基本案件事实必须以刑事案件的审理结果为依据，而该刑事案件尚未审结的，人民法院应当裁定中止诉讼。</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第八条　借款人涉嫌犯罪或者生效判决认定其有罪，出借人起诉请求担保人承担民事责任的，人民法院应予受理。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　自然人之间的借款合同具有下列情形之一的，可以视为合同成立：</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（一）以现金支付的，自借款人收到借款时；</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（二）以银行转账、网上电子汇款等形式支付的，自资金到达借款人账户时；</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（三）以票据交付的，自借款人依法取得票据权利时；</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（四）出借人将特定资金账户支配权授权给借款人的，自借款人取得对该账户实际支配权时；</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（五）出借人以与借款人约定的其他方式提供借款并实际履行完成时。</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第十条　法人之间、非法人组织之间以及它们相互之间为生产、经营需要订立的民间借贷合同，除存在民法典第一百四十六条、第一百五十三条、第一百五十四条以及本规定第十三条规定的情形外，当事人主张民间借贷合同有效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第十一条　法人或者非法人组织在本单位内部通过借款形式向职工筹集资金，用于本单位生产、经营，且不存在民法典第一百四十四条、第一百四十六条、第一百五十三条、第一百五十四条以及本规定第十三条规定的情形，当事人主张民间借贷合同有效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　借款人或者出借人的借贷行为涉嫌犯罪，或者已经生效的裁判认定构成犯罪，当事人提起民事诉讼的，民间借贷合同并不当然无效。人民法院应当依据民法典第一百四十四条、第一百四十六条、第一百五十三条、第一百五十四条以及本规定第十三条之规定，认定民间借贷合同的效力。</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担保人以借款人或者出借人的借贷行为涉嫌犯罪或者已经生效的裁判认定构成犯罪为由，主张不承担民事责任的，人民法院应当依据民间借贷合同与担保合同的效力、当事人的过错程度，依法确定担保人的民事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　具有下列情形之一的，人民法院应当认定民间借贷合同无效：</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（一）套取金融机构贷款转贷的；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（二）以向其他营利法人借贷、向本单位职工集资，或者以向公众非法吸收存款等方式取得的资金转贷的；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（三）未依法取得放贷资格的出借人，以营利为目的向社会不特定对象提供借款的；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（四）出借人事先知道或者应当知道借款人借款用于违法犯罪活动仍然提供借款的；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（五）违反法律、行政法规强制性规定的；</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（六）违背公序良俗的。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　原告以借据、收据、欠条等债权凭证为依据提起民间借贷诉讼，被告依据基础法律关系提出抗辩或者反诉，并提供证据证明债权纠纷非民间借贷行为引起的，人民法院应当依据查明的案件事实，按照基础法律关系审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当事人通过调解、和解或者清算达成的债权债务协议，不适用前款规定。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　原告仅依据借据、收据、欠条等债权凭证提起民间借贷诉讼，被告抗辩已经偿还借款的，被告应当对其主张提供证据证明。被告提供相应证据证明其主张后，原告仍应就借贷关系的存续承担举证责任。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被告抗辩借贷行为尚未实际发生并能作出合理说明的，人民法院应当结合借贷金额、款项交付、当事人的经济能力、当地或者当事人之间的交易方式、交易习惯、当事人财产变动情况以及证人证言等事实和因素，综合判断查证借贷事实是否发生。</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第十六条　原告仅依据金融机构的转账凭证提起民间借贷诉讼，被告抗辩转账系偿还双方之前借款或者其他债务的，被告应当对其主张提供证据证明。被告提供相应证据证明其主张后，原告仍应就借贷关系的成立承担举证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第十七条　依据《最高人民法院关于适用〈中华人民共和国民事诉讼法〉的解释》第一百七十四条第二款之规定，负有举证责任的原告无正当理由拒不到庭，经审查现有证据无法确认借贷行为、借贷金额、支付方式等案件主要事实的，人民法院对原告主张的事实不予认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　人民法院审理民间借贷纠纷案件时发现有下列情形之一的，应当严格审查借贷发生的原因、时间、地点、款项来源、交付方式、款项流向以及借贷双方的关系、经济状况等事实，综合判断是否属于虚假民事诉讼：</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（一）出借人明显不具备出借能力；</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（二）出借人起诉所依据的事实和理由明显不符合常理；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（三）出借人不能提交债权凭证或者提交的债权凭证存在伪造的可能；</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（四）当事人双方在一定期限内多次参加民间借贷诉讼；</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（五）当事人无正当理由拒不到庭参加诉讼，委托代理人对借贷事实陈述不清或者陈述前后矛盾；</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（六）当事人双方对借贷事实的发生没有任何争议或者诉辩明显不符合常理；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（七）借款人的配偶或者合伙人、案外人的其他债权人提出有事实依据的异议；</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（八）当事人在其他纠纷中存在低价转让财产的情形；</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（九）当事人不正当放弃权利；</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（十）其他可能存在虚假民间借贷诉讼的情形。</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　经查明属于虚假民间借贷诉讼，原告申请撤诉的，人民法院不予准许，并应当依据民事诉讼法第一百一十二条之规定，判决驳回其请求。</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诉讼参与人或者其他人恶意制造、参与虚假诉讼，人民法院应当依据民事诉讼法第一百一十一条、第一百一十二条和第一百一十三条之规定，依法予以罚款、拘留；构成犯罪的，应当移送有管辖权的司法机关追究刑事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单位恶意制造、参与虚假诉讼的，人民法院应当对该单位进行罚款，并可以对其主要负责人或者直接责任人员予以罚款、拘留；构成犯罪的，应当移送有管辖权的司法机关追究刑事责任。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第二十条　他人在借据、收据、欠条等债权凭证或者借款合同上签名或者盖章，但是未表明其保证人身份或者承担保证责任，或者通过其他事实不能推定其为保证人，出借人请求其承担保证责任的，人民法院不予支持。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第二十一条　借贷双方通过网络贷款平台形成借贷关系，网络贷款平台的提供者仅提供媒介服务，当事人请求其承担担保责任的，人民法院不予支持。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网络贷款平台的提供者通过网页、广告或者其他媒介明示或者有其他证据证明其为借贷提供担保，出借人请求网络贷款平台的提供者承担担保责任的，人民法院应予支持。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第二十二条　法人的法定代表人或者非法人组织的负责人以单位名义与出借人签订民间借贷合同，有证据证明所借款项系法定代表人或者负责人个人使用，出借人请求将法定代表人或者负责人列为共同被告或者第三人的，人民法院应予准许。</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法人的法定代表人或者非法人组织的负责人以个人名义与出借人订立民间借贷合同，所借款项用于单位生产经营，出借人请求单位与个人共同承担责任的，人民法院应予支持。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第二十三条　当事人以订立买卖合同作为民间借贷合同的担保，借款到期后借款人不能还款，出借人请求履行买卖合同的，人民法院应当按照民间借贷法律关系审理。当事人根据法庭审理情况变更诉讼请求的，人民法院应当准许。</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按照民间借贷法律关系审理作出的判决生效后，借款人不履行生效判决确定的金钱债务，出借人可以申请拍卖买卖合同标的物，以偿还债务。就拍卖所得的价款与应偿还借款本息之间的差额，借款人或者出借人有权主张返还或者补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第二十四条　借贷双方没有约定利息，出借人主张支付利息的，人民法院不予支持。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自然人之间借贷对利息约定不明，出借人主张支付利息的，人民法院不予支持。除自然人之间借贷的外，借贷双方对借贷利息约定不明，出借人主张利息的，人民法院应当结合民间借贷合同的内容，并根据当地或者当事人的交易方式、交易习惯、市场报价利率等因素确定利息。</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第二十五条　出借人请求借款人按照合同约定利率支付利息的，人民法院应予支持，但是双方约定的利率超过合同成立时一年期贷款市场报价利率四倍的除外。</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前款所称“一年期贷款市场报价利率”，是指中国人民银行授权全国银行间同业拆借中心自</w:t>
      </w:r>
      <w:r>
        <w:rPr>
          <w:rFonts w:eastAsia="仿宋_GB2312" w:cs="宋体" w:hint="eastAsia" w:ascii="仿宋_GB2312" w:hAnsi="仿宋_GB2312"/>
          <w:sz w:val="30"/>
          <w:szCs w:val="30"/>
        </w:rPr>
        <w:t>2019</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8</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20</w:t>
      </w:r>
      <w:r>
        <w:rPr>
          <w:rFonts w:ascii="仿宋_GB2312" w:hAnsi="仿宋_GB2312" w:cs="宋体" w:hint="eastAsia" w:eastAsia="仿宋_GB2312"/>
          <w:sz w:val="30"/>
          <w:szCs w:val="30"/>
        </w:rPr>
        <w:t>日起每月发布的一年期贷款市场报价利率。</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第二十六条　借据、收据、欠条等债权凭证载明的借款金额，一般认定为本金。预先在本金中扣除利息的，人民法院应当将实际出借的金额认定为本金。</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第二十七条　借贷双方对前期借款本息结算后将利息计入后期借款本金并重新出具债权凭证，如果前期利率没有超过合同成立时一年期贷款市场报价利率四倍，重新出具的债权凭证载明的金额可认定为后期借款本金。超过部分的利息，不应认定为后期借款本金。</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按前款计算，借款人在借款期间届满后应当支付的本息之和，超过以最初借款本金与以最初借款本金为基数、以合同成立时一年期贷款市场报价利率四倍计算的整个借款期间的利息之和的，人民法院不予支持。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第二十八条　借贷双方对逾期利率有约定的，从其约定，但是以不超过合同成立时一年期贷款市场报价利率四倍为限。</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未约定逾期利率或者约定不明的，人民法院可以区分不同情况处理：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（一）既未约定借期内利率，也未约定逾期利率，出借人主张借款人自逾期还款之日起参照当时一年期贷款市场报价利率标准计算的利息承担逾期还款违约责任的，人民法院应予支持；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（二）约定了借期内利率但是未约定逾期利率，出借人主张借款人自逾期还款之日起按照借期内利率支付资金占用期间利息的，人民法院应予支持。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第二十九条　出借人与借款人既约定了逾期利率，又约定了违约金或者其他费用，出借人可以选择主张逾期利息、违约金或者其他费用，也可以一并主张，但是总计超过合同成立时一年期贷款市场报价利率四倍的部分，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第三十条　借款人可以提前偿还借款，但是当事人另有约定的除外。</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借款人提前偿还借款并主张按照实际借款期限计算利息的，人民法院应予支持。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第三十一条　本规定施行后，人民法院新受理的一审民间借贷纠纷案件，适用本规定。</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8</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20</w:t>
      </w:r>
      <w:r>
        <w:rPr>
          <w:rFonts w:ascii="仿宋_GB2312" w:hAnsi="仿宋_GB2312" w:cs="宋体" w:hint="eastAsia" w:eastAsia="仿宋_GB2312"/>
          <w:sz w:val="30"/>
          <w:szCs w:val="30"/>
        </w:rPr>
        <w:t>日之后新受理的一审民间借贷案件，借贷合同成立于</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8</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20</w:t>
      </w:r>
      <w:r>
        <w:rPr>
          <w:rFonts w:ascii="仿宋_GB2312" w:hAnsi="仿宋_GB2312" w:cs="宋体" w:hint="eastAsia" w:eastAsia="仿宋_GB2312"/>
          <w:sz w:val="30"/>
          <w:szCs w:val="30"/>
        </w:rPr>
        <w:t>日之前，当事人请求适用当时的司法解释计算自合同成立到</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8</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19</w:t>
      </w:r>
      <w:r>
        <w:rPr>
          <w:rFonts w:ascii="仿宋_GB2312" w:hAnsi="仿宋_GB2312" w:cs="宋体" w:hint="eastAsia" w:eastAsia="仿宋_GB2312"/>
          <w:sz w:val="30"/>
          <w:szCs w:val="30"/>
        </w:rPr>
        <w:t>日的利息部分的，人民法院应予支持；对于自</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8</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20</w:t>
      </w:r>
      <w:r>
        <w:rPr>
          <w:rFonts w:ascii="仿宋_GB2312" w:hAnsi="仿宋_GB2312" w:cs="宋体" w:hint="eastAsia" w:eastAsia="仿宋_GB2312"/>
          <w:sz w:val="30"/>
          <w:szCs w:val="30"/>
        </w:rPr>
        <w:t>日到借款返还之日的利息部分，适用起诉时本规定的利率保护标准计算。</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本规定施行后，最高人民法院以前作出的相关司法解释与本规定不一致的，以本规定为准。</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p>
      <w:pPr>
        <w:pStyle w:val="Style17"/>
        <w:spacing w:lineRule="exact" w:line="520"/>
        <w:ind w:firstLineChars="200" w:startChars="0" w:start="0" w:endChars="0" w:end="0"/>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纯文本 Char"/>
    <w:basedOn w:val="Style14"/>
    <w:qFormat/>
    <w:rPr>
      <w:rFonts w:ascii="宋体" w:hAnsi="宋体" w:cs="Courier New"/>
      <w:kern w:val="2"/>
      <w:sz w:val="21"/>
      <w:szCs w:val="21"/>
    </w:rPr>
  </w:style>
  <w:style w:type="character" w:styleId="Char1">
    <w:name w:val="批注框文本 Char"/>
    <w:basedOn w:val="Style14"/>
    <w:qFormat/>
    <w:rPr>
      <w:kern w:val="2"/>
      <w:sz w:val="18"/>
      <w:szCs w:val="18"/>
    </w:rPr>
  </w:style>
  <w:style w:type="character" w:styleId="Char2">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称呼"/>
    <w:basedOn w:val="Normal"/>
    <w:next w:val="Normal"/>
    <w:qFormat/>
    <w:pPr>
      <w:jc w:val="center"/>
    </w:pPr>
    <w:rPr>
      <w:rFonts w:eastAsia="楷体"/>
      <w:sz w:val="32"/>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2021-04-14T08:26:37Z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