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exact" w:line="580"/>
        <w:jc w:val="center"/>
        <w:textAlignment w:val="auto"/>
        <w:rPr>
          <w:rFonts w:ascii="宋体" w:hAnsi="宋体" w:eastAsia="宋体" w:cs="宋体" w:hint="eastAsia"/>
          <w:b/>
          <w:color w:val="000000"/>
          <w:kern w:val="0"/>
          <w:sz w:val="44"/>
          <w:szCs w:val="44"/>
          <w:lang w:bidi="ar"/>
        </w:rPr>
      </w:pPr>
      <w:r>
        <w:rPr>
          <w:rFonts w:eastAsia="宋体" w:cs="宋体" w:hint="eastAsia" w:ascii="宋体" w:hAnsi="宋体"/>
          <w:b/>
          <w:color w:val="000000"/>
          <w:kern w:val="0"/>
          <w:sz w:val="44"/>
          <w:szCs w:val="44"/>
          <w:lang w:bidi="ar"/>
        </w:rPr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exact" w:line="580"/>
        <w:jc w:val="center"/>
        <w:textAlignment w:val="auto"/>
        <w:rPr>
          <w:rFonts w:ascii="宋体" w:hAnsi="宋体" w:eastAsia="宋体" w:cs="宋体" w:hint="eastAsia"/>
          <w:b/>
          <w:color w:val="000000"/>
          <w:kern w:val="0"/>
          <w:sz w:val="44"/>
          <w:szCs w:val="44"/>
          <w:lang w:bidi="ar"/>
        </w:rPr>
      </w:pPr>
      <w:r>
        <w:rPr>
          <w:rFonts w:eastAsia="宋体" w:cs="宋体" w:hint="eastAsia" w:ascii="宋体" w:hAnsi="宋体"/>
          <w:b/>
          <w:color w:val="000000"/>
          <w:kern w:val="0"/>
          <w:sz w:val="44"/>
          <w:szCs w:val="44"/>
          <w:lang w:bidi="ar"/>
        </w:rPr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exact" w:line="580"/>
        <w:jc w:val="center"/>
        <w:textAlignment w:val="auto"/>
        <w:rPr>
          <w:rFonts w:ascii="宋体" w:hAnsi="宋体" w:eastAsia="宋体" w:cs="宋体" w:hint="eastAsia"/>
          <w:b/>
          <w:color w:val="000000"/>
          <w:kern w:val="0"/>
          <w:sz w:val="44"/>
          <w:szCs w:val="44"/>
          <w:lang w:bidi="ar"/>
        </w:rPr>
      </w:pPr>
      <w:r>
        <w:rPr>
          <w:rFonts w:ascii="宋体" w:hAnsi="宋体" w:cs="宋体" w:hint="eastAsia" w:eastAsia="宋体"/>
          <w:b/>
          <w:color w:val="000000"/>
          <w:kern w:val="0"/>
          <w:sz w:val="44"/>
          <w:szCs w:val="44"/>
          <w:lang w:bidi="ar"/>
        </w:rPr>
        <w:t>最高人民检察院关于办理非法经营食盐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exact" w:line="58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b/>
          <w:color w:val="000000"/>
          <w:kern w:val="0"/>
          <w:sz w:val="44"/>
          <w:szCs w:val="44"/>
          <w:lang w:bidi="ar"/>
        </w:rPr>
        <w:t>刑事案件具体应用法律若干问题的解释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jc w:val="center"/>
        <w:textAlignment w:val="auto"/>
        <w:rPr>
          <w:rFonts w:ascii="宋体" w:hAnsi="宋体" w:eastAsia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eastAsia="宋体" w:cs="宋体" w:hint="eastAsia" w:ascii="宋体" w:hAnsi="宋体"/>
          <w:color w:val="000000"/>
          <w:kern w:val="0"/>
          <w:sz w:val="32"/>
          <w:szCs w:val="32"/>
          <w:lang w:bidi="ar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both"/>
        <w:textAlignment w:val="auto"/>
        <w:rPr>
          <w:rFonts w:ascii="楷体;方正楷体_GBK" w:hAnsi="楷体;方正楷体_GBK" w:eastAsia="楷体;方正楷体_GBK" w:cs="楷体;方正楷体_GBK" w:hint="eastAsia"/>
          <w:lang w:bidi="ar-SA"/>
        </w:rPr>
      </w:pPr>
      <w:r>
        <w:rPr>
          <w:rFonts w:eastAsia="楷体;方正楷体_GBK" w:cs="楷体;方正楷体_GBK" w:hint="eastAsia" w:ascii="楷体;方正楷体_GBK" w:hAnsi="楷体;方正楷体_GBK"/>
          <w:lang w:bidi="ar-SA"/>
        </w:rPr>
        <w:t>(2002</w:t>
      </w:r>
      <w:r>
        <w:rPr>
          <w:rFonts w:ascii="楷体;方正楷体_GBK" w:hAnsi="楷体;方正楷体_GBK" w:cs="楷体;方正楷体_GBK" w:hint="eastAsia" w:eastAsia="楷体;方正楷体_GBK"/>
          <w:lang w:bidi="ar-SA"/>
        </w:rPr>
        <w:t>年</w:t>
      </w:r>
      <w:r>
        <w:rPr>
          <w:rFonts w:eastAsia="楷体;方正楷体_GBK" w:cs="楷体;方正楷体_GBK" w:hint="eastAsia" w:ascii="楷体;方正楷体_GBK" w:hAnsi="楷体;方正楷体_GBK"/>
          <w:lang w:bidi="ar-SA"/>
        </w:rPr>
        <w:t>7</w:t>
      </w:r>
      <w:r>
        <w:rPr>
          <w:rFonts w:ascii="楷体;方正楷体_GBK" w:hAnsi="楷体;方正楷体_GBK" w:cs="楷体;方正楷体_GBK" w:hint="eastAsia" w:eastAsia="楷体;方正楷体_GBK"/>
          <w:lang w:bidi="ar-SA"/>
        </w:rPr>
        <w:t>月</w:t>
      </w:r>
      <w:r>
        <w:rPr>
          <w:rFonts w:eastAsia="楷体;方正楷体_GBK" w:cs="楷体;方正楷体_GBK" w:hint="eastAsia" w:ascii="楷体;方正楷体_GBK" w:hAnsi="楷体;方正楷体_GBK"/>
          <w:lang w:bidi="ar-SA"/>
        </w:rPr>
        <w:t>8</w:t>
      </w:r>
      <w:r>
        <w:rPr>
          <w:rFonts w:ascii="楷体;方正楷体_GBK" w:hAnsi="楷体;方正楷体_GBK" w:cs="楷体;方正楷体_GBK" w:hint="eastAsia" w:eastAsia="楷体;方正楷体_GBK"/>
          <w:lang w:bidi="ar-SA"/>
        </w:rPr>
        <w:t>日最高人民检察院第九届检察委员会第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both"/>
        <w:textAlignment w:val="auto"/>
        <w:rPr>
          <w:rFonts w:ascii="楷体;方正楷体_GBK" w:hAnsi="楷体;方正楷体_GBK" w:eastAsia="楷体;方正楷体_GBK" w:cs="楷体;方正楷体_GBK" w:hint="eastAsia"/>
          <w:lang w:bidi="ar-SA"/>
        </w:rPr>
      </w:pPr>
      <w:r>
        <w:rPr>
          <w:rFonts w:eastAsia="楷体;方正楷体_GBK" w:cs="楷体;方正楷体_GBK" w:hint="eastAsia" w:ascii="楷体;方正楷体_GBK" w:hAnsi="楷体;方正楷体_GBK"/>
          <w:lang w:bidi="ar-SA"/>
        </w:rPr>
        <w:t>112</w:t>
      </w:r>
      <w:r>
        <w:rPr>
          <w:rFonts w:ascii="楷体;方正楷体_GBK" w:hAnsi="楷体;方正楷体_GBK" w:cs="楷体;方正楷体_GBK" w:hint="eastAsia" w:eastAsia="楷体;方正楷体_GBK"/>
          <w:lang w:bidi="ar-SA"/>
        </w:rPr>
        <w:t>次会议通过，</w:t>
      </w:r>
      <w:r>
        <w:rPr>
          <w:rFonts w:eastAsia="楷体;方正楷体_GBK" w:cs="楷体;方正楷体_GBK" w:hint="eastAsia" w:ascii="楷体;方正楷体_GBK" w:hAnsi="楷体;方正楷体_GBK"/>
          <w:lang w:bidi="ar-SA"/>
        </w:rPr>
        <w:t xml:space="preserve">2002 </w:t>
      </w:r>
      <w:r>
        <w:rPr>
          <w:rFonts w:ascii="楷体;方正楷体_GBK" w:hAnsi="楷体;方正楷体_GBK" w:cs="楷体;方正楷体_GBK" w:hint="eastAsia" w:eastAsia="楷体;方正楷体_GBK"/>
          <w:lang w:bidi="ar-SA"/>
        </w:rPr>
        <w:t>年</w:t>
      </w:r>
      <w:r>
        <w:rPr>
          <w:rFonts w:eastAsia="楷体;方正楷体_GBK" w:cs="楷体;方正楷体_GBK" w:hint="eastAsia" w:ascii="楷体;方正楷体_GBK" w:hAnsi="楷体;方正楷体_GBK"/>
          <w:lang w:bidi="ar-SA"/>
        </w:rPr>
        <w:t>9</w:t>
      </w:r>
      <w:r>
        <w:rPr>
          <w:rFonts w:ascii="楷体;方正楷体_GBK" w:hAnsi="楷体;方正楷体_GBK" w:cs="楷体;方正楷体_GBK" w:hint="eastAsia" w:eastAsia="楷体;方正楷体_GBK"/>
          <w:lang w:bidi="ar-SA"/>
        </w:rPr>
        <w:t>月</w:t>
      </w:r>
      <w:r>
        <w:rPr>
          <w:rFonts w:eastAsia="楷体;方正楷体_GBK" w:cs="楷体;方正楷体_GBK" w:hint="eastAsia" w:ascii="楷体;方正楷体_GBK" w:hAnsi="楷体;方正楷体_GBK"/>
          <w:lang w:bidi="ar-SA"/>
        </w:rPr>
        <w:t>4</w:t>
      </w:r>
      <w:r>
        <w:rPr>
          <w:rFonts w:ascii="楷体;方正楷体_GBK" w:hAnsi="楷体;方正楷体_GBK" w:cs="楷体;方正楷体_GBK" w:hint="eastAsia" w:eastAsia="楷体;方正楷体_GBK"/>
          <w:lang w:bidi="ar-SA"/>
        </w:rPr>
        <w:t>日公布，自</w:t>
      </w:r>
      <w:r>
        <w:rPr>
          <w:rFonts w:eastAsia="楷体;方正楷体_GBK" w:cs="楷体;方正楷体_GBK" w:hint="eastAsia" w:ascii="楷体;方正楷体_GBK" w:hAnsi="楷体;方正楷体_GBK"/>
          <w:lang w:bidi="ar-SA"/>
        </w:rPr>
        <w:t>2002</w:t>
      </w:r>
      <w:r>
        <w:rPr>
          <w:rFonts w:ascii="楷体;方正楷体_GBK" w:hAnsi="楷体;方正楷体_GBK" w:cs="楷体;方正楷体_GBK" w:hint="eastAsia" w:eastAsia="楷体;方正楷体_GBK"/>
          <w:lang w:bidi="ar-SA"/>
        </w:rPr>
        <w:t>年</w:t>
      </w:r>
      <w:r>
        <w:rPr>
          <w:rFonts w:eastAsia="楷体;方正楷体_GBK" w:cs="楷体;方正楷体_GBK" w:hint="eastAsia" w:ascii="楷体;方正楷体_GBK" w:hAnsi="楷体;方正楷体_GBK"/>
          <w:lang w:bidi="ar-SA"/>
        </w:rPr>
        <w:t>9</w:t>
      </w:r>
      <w:r>
        <w:rPr>
          <w:rFonts w:ascii="楷体;方正楷体_GBK" w:hAnsi="楷体;方正楷体_GBK" w:cs="楷体;方正楷体_GBK" w:hint="eastAsia" w:eastAsia="楷体;方正楷体_GBK"/>
          <w:lang w:bidi="ar-SA"/>
        </w:rPr>
        <w:t>月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both"/>
        <w:textAlignment w:val="auto"/>
        <w:rPr>
          <w:rFonts w:ascii="楷体;方正楷体_GBK" w:hAnsi="楷体;方正楷体_GBK" w:eastAsia="楷体;方正楷体_GBK" w:cs="楷体;方正楷体_GBK" w:hint="eastAsia"/>
          <w:lang w:bidi="ar-SA"/>
        </w:rPr>
      </w:pPr>
      <w:r>
        <w:rPr>
          <w:rFonts w:eastAsia="楷体;方正楷体_GBK" w:cs="楷体;方正楷体_GBK" w:hint="eastAsia" w:ascii="楷体;方正楷体_GBK" w:hAnsi="楷体;方正楷体_GBK"/>
          <w:lang w:bidi="ar-SA"/>
        </w:rPr>
        <w:t xml:space="preserve">13 </w:t>
      </w:r>
      <w:r>
        <w:rPr>
          <w:rFonts w:ascii="楷体;方正楷体_GBK" w:hAnsi="楷体;方正楷体_GBK" w:cs="楷体;方正楷体_GBK" w:hint="eastAsia" w:eastAsia="楷体;方正楷体_GBK"/>
          <w:lang w:bidi="ar-SA"/>
        </w:rPr>
        <w:t>日起施行</w:t>
      </w:r>
      <w:r>
        <w:rPr>
          <w:rFonts w:eastAsia="楷体;方正楷体_GBK" w:cs="楷体;方正楷体_GBK" w:hint="eastAsia" w:ascii="楷体;方正楷体_GBK" w:hAnsi="楷体;方正楷体_GBK"/>
          <w:lang w:bidi="ar-SA"/>
        </w:rPr>
        <w:t>)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;DejaVu Sans" w:hAnsi="Times New Roman;DejaVu Sans" w:eastAsia="楷体;方正楷体_GBK" w:cs="Times New Roman;DejaVu Sans" w:hint="eastAsia"/>
          <w:lang w:bidi="ar-SA"/>
        </w:rPr>
      </w:pPr>
      <w:r>
        <w:rPr>
          <w:rFonts w:eastAsia="楷体;方正楷体_GBK" w:cs="Times New Roman;DejaVu Sans" w:hint="eastAsia"/>
          <w:lang w:bidi="ar-SA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;DejaVu Sans" w:hAnsi="Times New Roman;DejaVu Sans" w:cs="Times New Roman;DejaVu Sans"/>
          <w:lang w:bidi="ar-SA"/>
        </w:rPr>
      </w:pPr>
      <w:r>
        <w:rPr>
          <w:rFonts w:ascii="Times New Roman;DejaVu Sans" w:hAnsi="Times New Roman;DejaVu Sans" w:cs="Times New Roman;DejaVu Sans" w:hint="eastAsia"/>
          <w:lang w:bidi="ar-SA"/>
        </w:rPr>
        <w:t xml:space="preserve">为保护公民身体健康，维护社会主义市场经济秩序，根据刑法的有关规定，现对办理非法经营 食盐刑事案件具体应用法律的若干问题解释如下：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;DejaVu Sans" w:hAnsi="Times New Roman;DejaVu Sans" w:cs="Times New Roman;DejaVu Sans"/>
          <w:lang w:bidi="ar-SA"/>
        </w:rPr>
      </w:pPr>
      <w:r>
        <w:rPr>
          <w:rFonts w:ascii="Times New Roman;DejaVu Sans" w:hAnsi="Times New Roman;DejaVu Sans" w:cs="Times New Roman;DejaVu Sans" w:hint="eastAsia"/>
          <w:lang w:bidi="ar-SA"/>
        </w:rPr>
        <w:t xml:space="preserve">第一条 违反国家有关盐业管理规定，非法生产、储运、销售食盐，扰乱市场秩序，情节严重 的，应当依照刑法第二百二十五条 的规定，以非法经营罪追究刑事责任。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;DejaVu Sans" w:hAnsi="Times New Roman;DejaVu Sans" w:cs="Times New Roman;DejaVu Sans"/>
          <w:lang w:bidi="ar-SA"/>
        </w:rPr>
      </w:pPr>
      <w:r>
        <w:rPr>
          <w:rFonts w:ascii="Times New Roman;DejaVu Sans" w:hAnsi="Times New Roman;DejaVu Sans" w:cs="Times New Roman;DejaVu Sans" w:hint="eastAsia"/>
          <w:lang w:bidi="ar-SA"/>
        </w:rPr>
        <w:t xml:space="preserve">第二条 非法经营食盐，具有下列情形之一的，应当依法追究刑事责任：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;DejaVu Sans" w:hAnsi="Times New Roman;DejaVu Sans" w:cs="Times New Roman;DejaVu Sans"/>
          <w:lang w:bidi="ar-SA"/>
        </w:rPr>
      </w:pPr>
      <w:r>
        <w:rPr>
          <w:rFonts w:ascii="Times New Roman;DejaVu Sans" w:hAnsi="Times New Roman;DejaVu Sans" w:cs="Times New Roman;DejaVu Sans" w:hint="eastAsia"/>
          <w:lang w:bidi="ar-SA"/>
        </w:rPr>
        <w:t xml:space="preserve">（一）非法经营食盐数量在二十吨以上的；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;DejaVu Sans" w:hAnsi="Times New Roman;DejaVu Sans" w:cs="Times New Roman;DejaVu Sans"/>
          <w:lang w:bidi="ar-SA"/>
        </w:rPr>
      </w:pPr>
      <w:r>
        <w:rPr>
          <w:rFonts w:ascii="Times New Roman;DejaVu Sans" w:hAnsi="Times New Roman;DejaVu Sans" w:cs="Times New Roman;DejaVu Sans" w:hint="eastAsia"/>
          <w:lang w:bidi="ar-SA"/>
        </w:rPr>
        <w:t xml:space="preserve">（二）曾因非法经营食盐行为受过二次以上行政处罚又非法经营食盐，数量在十吨以上的。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;DejaVu Sans" w:hAnsi="Times New Roman;DejaVu Sans" w:cs="Times New Roman;DejaVu Sans"/>
          <w:lang w:bidi="ar-SA"/>
        </w:rPr>
      </w:pPr>
      <w:r>
        <w:rPr>
          <w:rFonts w:ascii="Times New Roman;DejaVu Sans" w:hAnsi="Times New Roman;DejaVu Sans" w:cs="Times New Roman;DejaVu Sans" w:hint="eastAsia"/>
          <w:lang w:bidi="ar-SA"/>
        </w:rPr>
        <w:t xml:space="preserve">第三条 非法经营食盐行为未经处理的，其非法经营的数量累计计算；行为人非法经营行为是否盈利，不影响犯罪的构成。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;DejaVu Sans" w:hAnsi="Times New Roman;DejaVu Sans" w:cs="Times New Roman;DejaVu Sans"/>
          <w:lang w:bidi="ar-SA"/>
        </w:rPr>
      </w:pPr>
      <w:r>
        <w:rPr>
          <w:rFonts w:ascii="Times New Roman;DejaVu Sans" w:hAnsi="Times New Roman;DejaVu Sans" w:cs="Times New Roman;DejaVu Sans" w:hint="eastAsia"/>
          <w:lang w:bidi="ar-SA"/>
        </w:rPr>
        <w:t xml:space="preserve">第四条 以非碘盐充当碘盐或者以工业用盐等非食盐充当食盐进行非法经营，同时构成非法经 营罪和生产、销售伪劣产品罪、生产、销售不符合卫生标准的食品罪、生产、销售有毒、有害食品罪等其他犯罪的，依照处罚较重的规定追究刑事责任。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Times New Roman;DejaVu Sans" w:hAnsi="Times New Roman;DejaVu Sans" w:cs="Times New Roman;DejaVu Sans"/>
          <w:lang w:bidi="ar-SA"/>
        </w:rPr>
      </w:pPr>
      <w:r>
        <w:rPr>
          <w:rFonts w:ascii="Times New Roman;DejaVu Sans" w:hAnsi="Times New Roman;DejaVu Sans" w:cs="Times New Roman;DejaVu Sans" w:hint="eastAsia"/>
          <w:lang w:bidi="ar-SA"/>
        </w:rPr>
        <w:t>第五条 以暴力、威胁方法阻碍行政执法人员依法行使盐业管理职务的，依照刑法第二百七十七条 的规定，以妨害公务罪追究刑事责任；其非法经营行为已构成犯罪的，依照数罪并罚的规定追究刑事责任。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80"/>
        <w:ind w:firstLineChars="200" w:startChars="0" w:start="0" w:endChars="0" w:end="0"/>
        <w:textAlignment w:val="auto"/>
        <w:rPr>
          <w:rFonts w:ascii="Times New Roman;DejaVu Sans" w:hAnsi="Times New Roman;DejaVu Sans" w:cs="Times New Roman;DejaVu Sans" w:hint="eastAsia"/>
          <w:sz w:val="32"/>
          <w:szCs w:val="32"/>
          <w:lang w:bidi="ar-SA"/>
        </w:rPr>
      </w:pPr>
      <w:r>
        <w:rPr>
          <w:rFonts w:cs="Times New Roman;DejaVu Sans" w:hint="eastAsia"/>
          <w:sz w:val="32"/>
          <w:szCs w:val="32"/>
          <w:lang w:bidi="ar-SA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588" w:bottom="1984"/>
      <w:pgNumType w:start="1"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DejaVu Sans"/>
    <w:charset w:val="00" w:characterSet="windows-1252"/>
    <w:family w:val="roman"/>
    <w:pitch w:val="default"/>
  </w:font>
  <w:font w:name="Arial">
    <w:altName w:val="DejaVu Sans"/>
    <w:charset w:val="00" w:characterSet="windows-1252"/>
    <w:family w:val="swiss"/>
    <w:pitch w:val="default"/>
  </w:font>
  <w:font w:name="仿宋_GB2312">
    <w:charset w:val="86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楷体">
    <w:altName w:val="方正楷体_GBK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32460" cy="30226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460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0" w:firstLine="0" w:startChars="0" w:start="0" w:endChars="-107"/>
                            <w:rPr>
                              <w:rStyle w:val="PageNumber"/>
                              <w:rFonts w:ascii="宋体" w:hAnsi="宋体" w:eastAsia="宋体" w:cs="宋体" w:hint="eastAsia"/>
                              <w:sz w:val="28"/>
                            </w:rPr>
                          </w:pPr>
                          <w:r>
                            <w:rPr>
                              <w:rStyle w:val="PageNumber"/>
                              <w:rFonts w:ascii="宋体" w:hAnsi="宋体" w:cs="宋体" w:hint="eastAsia" w:eastAsia="宋体"/>
                              <w:sz w:val="28"/>
                            </w:rPr>
                            <w:t>　－</w: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ascii="宋体" w:hAnsi="宋体" w:cs="宋体" w:hint="eastAsia" w:eastAsia="宋体"/>
                              <w:sz w:val="28"/>
                            </w:rPr>
                            <w:t>－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8pt;height:23.8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0" w:firstLine="0" w:startChars="0" w:start="0" w:endChars="-107"/>
                      <w:rPr>
                        <w:rStyle w:val="PageNumber"/>
                        <w:rFonts w:ascii="宋体" w:hAnsi="宋体" w:eastAsia="宋体" w:cs="宋体" w:hint="eastAsia"/>
                        <w:sz w:val="28"/>
                      </w:rPr>
                    </w:pPr>
                    <w:r>
                      <w:rPr>
                        <w:rStyle w:val="PageNumber"/>
                        <w:rFonts w:ascii="宋体" w:hAnsi="宋体" w:cs="宋体" w:hint="eastAsia" w:eastAsia="宋体"/>
                        <w:sz w:val="28"/>
                      </w:rPr>
                      <w:t>　－</w: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end"/>
                    </w:r>
                    <w:r>
                      <w:rPr>
                        <w:rStyle w:val="PageNumber"/>
                        <w:rFonts w:ascii="宋体" w:hAnsi="宋体" w:cs="宋体" w:hint="eastAsia" w:eastAsia="宋体"/>
                        <w:sz w:val="28"/>
                      </w:rPr>
                      <w:t>－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>
        <w:rFonts w:hint="eastAsia"/>
      </w:rPr>
    </w:pPr>
    <w:r>
      <w:rPr>
        <w:rFonts w:hint="eastAsia"/>
      </w:rPr>
      <w:t xml:space="preserve">  </w:t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454660" cy="60452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4660" cy="60452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keepNext w:val="false"/>
                            <w:keepLines w:val="false"/>
                            <w:pageBreakBefore w:val="false"/>
                            <w:widowControl w:val="false"/>
                            <w:kinsoku w:val="true"/>
                            <w:overflowPunct w:val="true"/>
                            <w:autoSpaceDE w:val="true"/>
                            <w:bidi w:val="0"/>
                            <w:snapToGrid w:val="false"/>
                            <w:spacing w:lineRule="auto" w:line="240" w:before="0" w:after="0"/>
                            <w:ind w:firstLineChars="0" w:firstLine="0" w:startChars="0" w:start="0" w:endChars="100"/>
                            <w:jc w:val="start"/>
                            <w:textAlignment w:val="auto"/>
                            <w:rPr>
                              <w:rStyle w:val="PageNumber"/>
                              <w:rFonts w:ascii="仿宋_GB2312" w:hAnsi="仿宋_GB2312" w:hint="eastAsia"/>
                              <w:sz w:val="28"/>
                            </w:rPr>
                          </w:pPr>
                          <w:r>
                            <w:rPr>
                              <w:rStyle w:val="PageNumber"/>
                              <w:rFonts w:ascii="宋体" w:hAnsi="宋体" w:cs="宋体" w:hint="eastAsia" w:eastAsia="宋体"/>
                              <w:sz w:val="28"/>
                            </w:rPr>
                            <w:t>－</w: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cs="宋体" w:hint="eastAsia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ascii="宋体" w:hAnsi="宋体" w:cs="宋体" w:hint="eastAsia" w:eastAsia="宋体"/>
                              <w:sz w:val="28"/>
                            </w:rPr>
                            <w:t>－</w:t>
                          </w:r>
                          <w:r>
                            <w:rPr>
                              <w:rStyle w:val="PageNumber"/>
                              <w:rFonts w:ascii="仿宋_GB2312" w:hAnsi="仿宋_GB2312" w:hint="eastAsia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5.8pt;height:47.6pt;mso-wrap-distance-left:0pt;mso-wrap-distance-right:0pt;mso-wrap-distance-top:0pt;mso-wrap-distance-bottom:0pt;margin-top:0.05pt;mso-position-vertical-relative:text;margin-left:406.4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keepNext w:val="false"/>
                      <w:keepLines w:val="false"/>
                      <w:pageBreakBefore w:val="false"/>
                      <w:widowControl w:val="false"/>
                      <w:kinsoku w:val="true"/>
                      <w:overflowPunct w:val="true"/>
                      <w:autoSpaceDE w:val="true"/>
                      <w:bidi w:val="0"/>
                      <w:snapToGrid w:val="false"/>
                      <w:spacing w:lineRule="auto" w:line="240" w:before="0" w:after="0"/>
                      <w:ind w:firstLineChars="0" w:firstLine="0" w:startChars="0" w:start="0" w:endChars="100"/>
                      <w:jc w:val="start"/>
                      <w:textAlignment w:val="auto"/>
                      <w:rPr>
                        <w:rStyle w:val="PageNumber"/>
                        <w:rFonts w:ascii="仿宋_GB2312" w:hAnsi="仿宋_GB2312" w:hint="eastAsia"/>
                        <w:sz w:val="28"/>
                      </w:rPr>
                    </w:pPr>
                    <w:r>
                      <w:rPr>
                        <w:rStyle w:val="PageNumber"/>
                        <w:rFonts w:ascii="宋体" w:hAnsi="宋体" w:cs="宋体" w:hint="eastAsia" w:eastAsia="宋体"/>
                        <w:sz w:val="28"/>
                      </w:rPr>
                      <w:t>－</w: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cs="宋体" w:hint="eastAsia" w:eastAsia="宋体"/>
                        <w:sz w:val="28"/>
                      </w:rPr>
                      <w:fldChar w:fldCharType="end"/>
                    </w:r>
                    <w:r>
                      <w:rPr>
                        <w:rStyle w:val="PageNumber"/>
                        <w:rFonts w:ascii="宋体" w:hAnsi="宋体" w:cs="宋体" w:hint="eastAsia" w:eastAsia="宋体"/>
                        <w:sz w:val="28"/>
                      </w:rPr>
                      <w:t>－</w:t>
                    </w:r>
                    <w:r>
                      <w:rPr>
                        <w:rStyle w:val="PageNumber"/>
                        <w:rFonts w:ascii="仿宋_GB2312" w:hAnsi="仿宋_GB2312" w:hint="eastAsia"/>
                        <w:sz w:val="28"/>
                      </w:rPr>
                      <w:t xml:space="preserve">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;DejaVu Sans" w:hAnsi="Times New Roman;DejaVu Sans" w:eastAsia="仿宋_GB2312" w:cs="Times New Roman;DejaVu Sans"/>
      <w:color w:val="auto"/>
      <w:kern w:val="2"/>
      <w:sz w:val="32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kern w:val="2"/>
      <w:sz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3" w:before="260" w:after="260"/>
      <w:outlineLvl w:val="1"/>
    </w:pPr>
    <w:rPr>
      <w:rFonts w:ascii="Arial;DejaVu Sans" w:hAnsi="Arial;DejaVu Sans" w:eastAsia="黑体" w:cs="Arial;DejaVu Sans"/>
      <w:b/>
      <w:bCs/>
      <w:kern w:val="2"/>
      <w:sz w:val="32"/>
      <w:szCs w:val="32"/>
      <w:lang w:bidi="ar-SA"/>
    </w:rPr>
  </w:style>
  <w:style w:type="character" w:styleId="Style12">
    <w:name w:val="默认段落字体"/>
    <w:qFormat/>
    <w:rPr/>
  </w:style>
  <w:style w:type="character" w:styleId="PageNumber">
    <w:name w:val="page number"/>
    <w:basedOn w:val="Style12"/>
    <w:rPr/>
  </w:style>
  <w:style w:type="character" w:styleId="Hyperlink">
    <w:name w:val="Hyperlink"/>
    <w:basedOn w:val="Style12"/>
    <w:rPr>
      <w:color w:val="0000FF"/>
      <w:u w:val="single"/>
    </w:rPr>
  </w:style>
  <w:style w:type="character" w:styleId="hitclass2">
    <w:name w:val="hitclass2"/>
    <w:basedOn w:val="Style12"/>
    <w:qFormat/>
    <w:rPr/>
  </w:style>
  <w:style w:type="character" w:styleId="font11">
    <w:name w:val="font11"/>
    <w:basedOn w:val="Style12"/>
    <w:qFormat/>
    <w:rPr>
      <w:rFonts w:ascii="仿宋_GB2312" w:hAnsi="仿宋_GB2312" w:eastAsia="仿宋_GB2312" w:cs="仿宋_GB2312"/>
      <w:color w:val="000000"/>
      <w:sz w:val="24"/>
      <w:szCs w:val="24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firstLine="630" w:start="0" w:end="0"/>
    </w:pPr>
    <w:rPr/>
  </w:style>
  <w:style w:type="paragraph" w:styleId="Style13">
    <w:name w:val="纯文本"/>
    <w:basedOn w:val="Normal"/>
    <w:qFormat/>
    <w:pPr/>
    <w:rPr>
      <w:rFonts w:ascii="宋体" w:hAnsi="宋体" w:cs="Courier New;DejaVu Sans"/>
      <w:szCs w:val="21"/>
    </w:rPr>
  </w:style>
  <w:style w:type="paragraph" w:styleId="2">
    <w:name w:val="正文文本缩进 2"/>
    <w:basedOn w:val="Normal"/>
    <w:qFormat/>
    <w:pPr>
      <w:widowControl/>
      <w:spacing w:lineRule="exact" w:line="400"/>
      <w:ind w:firstLineChars="200" w:startChars="0" w:start="0" w:endChars="0" w:end="0"/>
    </w:pPr>
    <w:rPr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</w:rPr>
  </w:style>
  <w:style w:type="paragraph" w:styleId="TOC1">
    <w:name w:val="toc 1"/>
    <w:basedOn w:val="Normal"/>
    <w:next w:val="Normal"/>
    <w:pPr>
      <w:tabs>
        <w:tab w:val="clear" w:pos="420"/>
        <w:tab w:val="right" w:pos="8296" w:leader="dot"/>
      </w:tabs>
    </w:pPr>
    <w:rPr>
      <w:rFonts w:ascii="黑体" w:hAnsi="黑体" w:eastAsia="黑体"/>
      <w:sz w:val="44"/>
      <w:szCs w:val="44"/>
      <w:lang w:val="en-US" w:eastAsia="en-US"/>
    </w:rPr>
  </w:style>
  <w:style w:type="paragraph" w:styleId="Style31">
    <w:name w:val="_Style 3"/>
    <w:basedOn w:val="Normal"/>
    <w:qFormat/>
    <w:pPr>
      <w:widowControl/>
      <w:spacing w:lineRule="exact" w:line="240" w:before="0" w:after="160"/>
      <w:jc w:val="start"/>
    </w:pPr>
    <w:rPr/>
  </w:style>
  <w:style w:type="paragraph" w:styleId="Char1CharCharChar">
    <w:name w:val=" Char1 Char Char Char"/>
    <w:basedOn w:val="Normal"/>
    <w:qFormat/>
    <w:pPr/>
    <w:rPr/>
  </w:style>
  <w:style w:type="paragraph" w:styleId="p0">
    <w:name w:val="p0"/>
    <w:basedOn w:val="Normal"/>
    <w:qFormat/>
    <w:pPr>
      <w:widowControl/>
    </w:pPr>
    <w:rPr>
      <w:kern w:val="0"/>
      <w:szCs w:val="21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高检发释字（2019）3号-电子版.wpt</Template>
  <TotalTime>480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2019-07-31T17:15:00Z</dcterms:created>
  <dc:creator>吴边</dc:creator>
  <dc:description/>
  <dc:language>en-US</dc:language>
  <cp:lastModifiedBy>qgrd</cp:lastModifiedBy>
  <dcterms:modified xsi:type="dcterms:W3CDTF">2021-06-22T16:20:02Z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7074B37065E0434C8E6947DBF07EDBD6</vt:lpwstr>
  </property>
  <property fmtid="{D5CDD505-2E9C-101B-9397-08002B2CF9AE}" pid="3" name="KSOProductBuildVer">
    <vt:lpwstr>2052-11.8.2.10251</vt:lpwstr>
  </property>
</Properties>
</file>