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pacing w:lineRule="exact" w:line="520"/>
        <w:ind w:firstLineChars="20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spacing w:lineRule="exact" w:line="520"/>
        <w:ind w:firstLineChars="200" w:startChars="0" w:start="0" w:endChars="0" w:end="0"/>
        <w:jc w:val="center"/>
        <w:rPr>
          <w:rFonts w:ascii="华文中宋" w:hAnsi="华文中宋" w:eastAsia="华文中宋" w:cs="宋体"/>
          <w:sz w:val="36"/>
          <w:szCs w:val="36"/>
        </w:rPr>
      </w:pPr>
      <w:r>
        <w:rPr>
          <w:rFonts w:ascii="华文中宋" w:hAnsi="华文中宋" w:cs="宋体" w:hint="eastAsia" w:eastAsia="华文中宋"/>
          <w:sz w:val="36"/>
          <w:szCs w:val="36"/>
        </w:rPr>
        <w:t>关于审理建筑物区分所有权纠纷案件适用法律</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ascii="华文中宋" w:hAnsi="华文中宋" w:cs="宋体" w:hint="eastAsia" w:eastAsia="华文中宋"/>
          <w:sz w:val="36"/>
          <w:szCs w:val="36"/>
        </w:rPr>
        <w:t>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1464</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为正确审理建筑物区分所有权纠纷案件，依法保护当事人的合法权益，根据《中华人民共和国民法典》等法律的规定，结合民事审判实践，制定本解释。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第一条依法登记取得或者依据民法典第二百二十九条至第二百三十一条规定取得建筑物专有部分所有权的人，应当认定为民法典第二编第六章所称的业主。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基于与建设单位之间的商品房买卖民事法律行为，已经合法占有建筑物专有部分，但尚未依法办理所有权登记的人，可以认定为民法典第二编第六章所称的业主。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第二条建筑区划内符合下列条件的房屋，以及车位、摊位等特定空间，应当认定为民法典第二编第六章所称的专有部分：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（一）具有构造上的独立性，能够明确区分；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（二）具有利用上的独立性，可以排他使用；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（三）能够登记成为特定业主所有权的客体。</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规划上专属于特定房屋，且建设单位销售时已经根据规划列入该特定房屋买卖合同中的露台等，应当认定为前款所称的专有部分的组成部分。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本条第一款所称房屋，包括整栋建筑物。</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第三条除法律、行政法规规定的共有部分外，建筑区划内的以下部分，也应当认定为民法典第二编第六章所称的共有部分：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（一）建筑物的基础、承重结构、外墙、屋顶等基本结构部分，通道、楼梯、大堂等公共通行部分，消防、公共照明等附属设施、设备，避难层、设备层或者设备间等结构部分；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（二）其他不属于业主专有部分，也不属于市政公用部分或者其他权利人所有的场所及设施等。</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建筑区划内的土地，依法由业主共同享有建设用地使用权，但属于业主专有的整栋建筑物的规划占地或者城镇公共道路、绿地占地除外。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业主基于对住宅、经营性用房等专有部分特定使用功能的合理需要，无偿利用屋顶以及与其专有部分相对应的外墙面等共有部分的，不应认定为侵权。但违反法律、法规、管理规约，损害他人合法权益的除外。</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第五条建设单位按照配置比例将车位、车库，以出售、附赠或者出租等方式处分给业主的，应当认定其行为符合民法典第二百七十六条有关“应当首先满足业主的需要”的规定。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前款所称配置比例是指规划确定的建筑区划内规划用于停放汽车的车位、车库与房屋套数的比例。</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第六条建筑区划内在规划用于停放汽车的车位之外，占用业主共有道路或者其他场地增设的车位，应当认定为民法典第二百七十五条第二款所称的车位。</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第七条处分共有部分，以及业主大会依法决定或者管理规约依法确定应由业主共同决定的事项，应当认定为民法典第二百七十八条第一款第（九）项规定的有关共有和共同管理权利的“其他重大事项”。</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民法典第二百七十八条第二款和第二百八十三条规定的专有部分面积可以按照不动产登记簿记载的面积计算；尚未进行物权登记的，暂按测绘机构的实测面积计算；尚未进行实测的，暂按房屋买卖合同记载的面积计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民法典第二百七十八条第二款规定的业主人数可以按照专有部分的数量计算，一个专有部分按一人计算。但建设单位尚未出售和虽已出售但尚未交付的部分，以及同一买受人拥有一个以上专有部分的，按一人计算。</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第十条业主将住宅改变为经营性用房，未依据民法典第二百七十九条的规定经有利害关系的业主一致同意，有利害关系的业主请求排除妨害、消除危险、恢复原状或者赔偿损失的，人民法院应予支持。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将住宅改变为经营性用房的业主以多数有利害关系的业主同意其行为进行抗辩的，人民法院不予支持。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业主将住宅改变为经营性用房，本栋建筑物内的其他业主，应当认定为民法典第二百七十九条所称“有利害关系的业主”。建筑区划内，本栋建筑物之外的业主，主张与自己有利害关系的，应证明其房屋价值、生活质量受到或者可能受到不利影响。</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业主以业主大会或者业主委员会作出的决定侵害其合法权益或者违反了法律规定的程序为由，依据民法典第二百八十条第二款的规定请求人民法院撤销该决定的，应当在知道或者应当知道业主大会或者业主委员会作出决定之日起一年内行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第十三条业主请求公布、查阅下列应当向业主公开的情况和资料的，人民法院应予支持：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（一）建筑物及其附属设施的维修资金的筹集、使用情况；</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（二）管理规约、业主大会议事规则，以及业主大会或者业主委员会的决定及会议记录；</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（三）物业服务合同、共有部分的使用和收益情况；</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（四）建筑区划内规划用于停放汽车的车位、车库的处分情况；</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（五）其他应当向业主公开的情况和资料。</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建设单位、物业服务企业或者其他管理人等擅自占用、处分业主共有部分、改变其使用功能或者进行经营性活动，权利人请求排除妨害、恢复原状、确认处分行为无效或者赔偿损失的，人民法院应予支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属于前款所称擅自进行经营性活动的情形，权利人请求建设单位、物业服务企业或者其他管理人等将扣除合理成本之后的收益用于补充专项维修资金或者业主共同决定的其他用途的，人民法院应予支持。行为人对成本的支出及其合理性承担举证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业主或者其他行为人违反法律、法规、国家相关强制性标准、管理规约，或者违反业主大会、业主委员会依法作出的决定，实施下列行为的，可以认定为民法典第二百八十六条第二款所称的其他“损害他人合法权益的行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（一）损害房屋承重结构，损害或者违章使用电力、燃气、消防设施，在建筑物内放置危险、放射性物品等危及建筑物安全或者妨碍建筑物正常使用；</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（二）违反规定破坏、改变建筑物外墙面的形状、颜色等损害建筑物外观；</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（三）违反规定进行房屋装饰装修；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（四）违章加建、改建，侵占、挖掘公共通道、道路、场地或者其他共有部分。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第十六条建筑物区分所有权纠纷涉及专有部分的承租人、借用人等物业使用人的，参照本解释处理。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专有部分的承租人、借用人等物业使用人，根据法律、法规、管理规约、业主大会或者业主委员会依法作出的决定，以及其与业主的约定，享有相应权利，承担相应义务。</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第十七条本解释所称建设单位，包括包销期满，按照包销合同约定的包销价格购买尚未销售的物业后，以自己名义对外销售的包销人。</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第十八条人民法院审理建筑物区分所有权案件中，涉及有关物权归属争议的，应当以法律、行政法规为依据。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第十九条本解释自</w:t>
      </w:r>
      <w:r>
        <w:rPr>
          <w:rFonts w:eastAsia="仿宋_GB2312" w:cs="宋体" w:hint="eastAsia" w:ascii="仿宋_GB2312" w:hAnsi="仿宋_GB2312"/>
          <w:sz w:val="30"/>
          <w:szCs w:val="30"/>
        </w:rPr>
        <w:t>2009</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10</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因物权法施行后实施的行为引起的建筑物区分所有权纠纷案件，适用本解释。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本解释施行前已经终审，本解释施行后当事人申请再审或者按照审判监督程序决定再审的案件，不适用本解释。</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4</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2021-04-14T08:29:30Z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