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6"/>
        <w:keepNext w:val="false"/>
        <w:keepLines w:val="false"/>
        <w:pageBreakBefore w:val="false"/>
        <w:widowControl w:val="false"/>
        <w:kinsoku w:val="true"/>
        <w:overflowPunct w:val="true"/>
        <w:autoSpaceDE w:val="true"/>
        <w:bidi w:val="0"/>
        <w:snapToGrid w:val="true"/>
        <w:spacing w:lineRule="exact" w:line="520"/>
        <w:ind w:firstLineChars="0" w:firstLine="0" w:startChars="0" w:start="0" w:endChars="0" w:end="0"/>
        <w:jc w:val="center"/>
        <w:textAlignment w:val="auto"/>
        <w:rPr>
          <w:rFonts w:ascii="华文中宋" w:hAnsi="华文中宋" w:eastAsia="华文中宋" w:cs="宋体"/>
          <w:sz w:val="36"/>
          <w:szCs w:val="36"/>
        </w:rPr>
      </w:pPr>
      <w:r>
        <w:rPr>
          <w:rFonts w:ascii="华文中宋" w:hAnsi="华文中宋" w:cs="宋体" w:hint="eastAsia" w:eastAsia="华文中宋"/>
          <w:sz w:val="36"/>
          <w:szCs w:val="36"/>
        </w:rPr>
        <w:t>最高人民法院</w:t>
      </w:r>
    </w:p>
    <w:p>
      <w:pPr>
        <w:pStyle w:val="Style16"/>
        <w:keepNext w:val="false"/>
        <w:keepLines w:val="false"/>
        <w:pageBreakBefore w:val="false"/>
        <w:widowControl w:val="false"/>
        <w:kinsoku w:val="true"/>
        <w:overflowPunct w:val="true"/>
        <w:autoSpaceDE w:val="true"/>
        <w:bidi w:val="0"/>
        <w:snapToGrid w:val="true"/>
        <w:spacing w:lineRule="exact" w:line="520"/>
        <w:ind w:firstLineChars="0" w:firstLine="0" w:startChars="0" w:start="0" w:endChars="0" w:end="0"/>
        <w:jc w:val="center"/>
        <w:textAlignment w:val="auto"/>
        <w:rPr>
          <w:rFonts w:ascii="华文中宋" w:hAnsi="华文中宋" w:eastAsia="华文中宋" w:cs="宋体"/>
          <w:sz w:val="36"/>
          <w:szCs w:val="36"/>
        </w:rPr>
      </w:pPr>
      <w:r>
        <w:rPr>
          <w:rFonts w:ascii="华文中宋" w:hAnsi="华文中宋" w:cs="宋体" w:hint="eastAsia" w:eastAsia="华文中宋"/>
          <w:sz w:val="36"/>
          <w:szCs w:val="36"/>
        </w:rPr>
        <w:t>关于国有土地开荒后用于农耕的土地使用权</w:t>
      </w:r>
    </w:p>
    <w:p>
      <w:pPr>
        <w:pStyle w:val="Style16"/>
        <w:keepNext w:val="false"/>
        <w:keepLines w:val="false"/>
        <w:pageBreakBefore w:val="false"/>
        <w:widowControl w:val="false"/>
        <w:kinsoku w:val="true"/>
        <w:overflowPunct w:val="true"/>
        <w:autoSpaceDE w:val="true"/>
        <w:bidi w:val="0"/>
        <w:snapToGrid w:val="true"/>
        <w:spacing w:lineRule="exact" w:line="520"/>
        <w:ind w:firstLineChars="0" w:firstLine="0" w:startChars="0" w:start="0" w:endChars="0" w:end="0"/>
        <w:jc w:val="center"/>
        <w:textAlignment w:val="auto"/>
        <w:rPr>
          <w:rFonts w:ascii="华文中宋" w:hAnsi="华文中宋" w:eastAsia="华文中宋" w:cs="宋体" w:hint="eastAsia"/>
          <w:sz w:val="36"/>
          <w:szCs w:val="36"/>
        </w:rPr>
      </w:pPr>
      <w:r>
        <w:rPr>
          <w:rFonts w:ascii="华文中宋" w:hAnsi="华文中宋" w:cs="宋体" w:hint="eastAsia" w:eastAsia="华文中宋"/>
          <w:sz w:val="36"/>
          <w:szCs w:val="36"/>
        </w:rPr>
        <w:t>转让合同纠纷案件如何适用法律问题的批复</w:t>
      </w:r>
    </w:p>
    <w:p>
      <w:pPr>
        <w:pStyle w:val="Style16"/>
        <w:spacing w:lineRule="exact" w:line="520"/>
        <w:ind w:firstLineChars="200" w:startChars="0" w:start="0" w:endChars="0" w:end="0"/>
        <w:jc w:val="center"/>
        <w:rPr>
          <w:rFonts w:ascii="华文中宋" w:hAnsi="华文中宋" w:eastAsia="华文中宋" w:cs="宋体" w:hint="eastAsia"/>
          <w:sz w:val="36"/>
          <w:szCs w:val="36"/>
        </w:rPr>
      </w:pPr>
      <w:r>
        <w:rPr>
          <w:rFonts w:eastAsia="华文中宋" w:cs="宋体" w:hint="eastAsia" w:ascii="华文中宋" w:hAnsi="华文中宋"/>
          <w:sz w:val="36"/>
          <w:szCs w:val="36"/>
        </w:rPr>
      </w:r>
    </w:p>
    <w:p>
      <w:pPr>
        <w:pStyle w:val="Style16"/>
        <w:spacing w:lineRule="exact" w:line="520"/>
        <w:ind w:firstLineChars="200" w:startChars="0" w:start="0" w:endChars="0" w:end="0"/>
        <w:jc w:val="center"/>
        <w:rPr>
          <w:rFonts w:ascii="仿宋_GB2312" w:hAnsi="仿宋_GB2312" w:eastAsia="仿宋_GB2312" w:cs="宋体" w:hint="eastAsia"/>
          <w:sz w:val="30"/>
          <w:szCs w:val="30"/>
        </w:rPr>
      </w:pPr>
      <w:r>
        <w:rPr>
          <w:rFonts w:ascii="仿宋_GB2312" w:hAnsi="仿宋_GB2312" w:cs="宋体" w:hint="eastAsia" w:eastAsia="仿宋_GB2312"/>
          <w:sz w:val="30"/>
          <w:szCs w:val="30"/>
        </w:rPr>
        <w:t>（</w:t>
      </w:r>
      <w:r>
        <w:rPr>
          <w:rFonts w:eastAsia="仿宋_GB2312" w:cs="宋体" w:hint="eastAsia" w:ascii="仿宋_GB2312" w:hAnsi="仿宋_GB2312"/>
          <w:sz w:val="30"/>
          <w:szCs w:val="30"/>
        </w:rPr>
        <w:t>2011</w:t>
      </w:r>
      <w:r>
        <w:rPr>
          <w:rFonts w:ascii="仿宋_GB2312" w:hAnsi="仿宋_GB2312" w:cs="宋体" w:hint="eastAsia" w:eastAsia="仿宋_GB2312"/>
          <w:sz w:val="30"/>
          <w:szCs w:val="30"/>
        </w:rPr>
        <w:t>年</w:t>
      </w:r>
      <w:r>
        <w:rPr>
          <w:rFonts w:eastAsia="仿宋_GB2312" w:cs="宋体" w:hint="eastAsia" w:ascii="仿宋_GB2312" w:hAnsi="仿宋_GB2312"/>
          <w:sz w:val="30"/>
          <w:szCs w:val="30"/>
        </w:rPr>
        <w:t>11</w:t>
      </w:r>
      <w:r>
        <w:rPr>
          <w:rFonts w:ascii="仿宋_GB2312" w:hAnsi="仿宋_GB2312" w:cs="宋体" w:hint="eastAsia" w:eastAsia="仿宋_GB2312"/>
          <w:sz w:val="30"/>
          <w:szCs w:val="30"/>
        </w:rPr>
        <w:t>月</w:t>
      </w:r>
      <w:r>
        <w:rPr>
          <w:rFonts w:eastAsia="仿宋_GB2312" w:cs="宋体" w:hint="eastAsia" w:ascii="仿宋_GB2312" w:hAnsi="仿宋_GB2312"/>
          <w:sz w:val="30"/>
          <w:szCs w:val="30"/>
        </w:rPr>
        <w:t>21</w:t>
      </w:r>
      <w:r>
        <w:rPr>
          <w:rFonts w:ascii="仿宋_GB2312" w:hAnsi="仿宋_GB2312" w:cs="宋体" w:hint="eastAsia" w:eastAsia="仿宋_GB2312"/>
          <w:sz w:val="30"/>
          <w:szCs w:val="30"/>
        </w:rPr>
        <w:t>日最高人民法院审判委员会第</w:t>
      </w:r>
      <w:r>
        <w:rPr>
          <w:rFonts w:eastAsia="仿宋_GB2312" w:cs="宋体" w:hint="eastAsia" w:ascii="仿宋_GB2312" w:hAnsi="仿宋_GB2312"/>
          <w:sz w:val="30"/>
          <w:szCs w:val="30"/>
        </w:rPr>
        <w:t>1532</w:t>
      </w:r>
      <w:r>
        <w:rPr>
          <w:rFonts w:ascii="仿宋_GB2312" w:hAnsi="仿宋_GB2312" w:cs="宋体" w:hint="eastAsia" w:eastAsia="仿宋_GB2312"/>
          <w:sz w:val="30"/>
          <w:szCs w:val="30"/>
        </w:rPr>
        <w:t>次会议通过，根据</w:t>
      </w:r>
      <w:r>
        <w:rPr>
          <w:rFonts w:eastAsia="仿宋_GB2312" w:cs="宋体" w:hint="eastAsia" w:ascii="仿宋_GB2312" w:hAnsi="仿宋_GB2312"/>
          <w:sz w:val="30"/>
          <w:szCs w:val="30"/>
        </w:rPr>
        <w:t>2020</w:t>
      </w:r>
      <w:r>
        <w:rPr>
          <w:rFonts w:ascii="仿宋_GB2312" w:hAnsi="仿宋_GB2312" w:cs="宋体" w:hint="eastAsia" w:eastAsia="仿宋_GB2312"/>
          <w:sz w:val="30"/>
          <w:szCs w:val="30"/>
        </w:rPr>
        <w:t>年</w:t>
      </w:r>
      <w:r>
        <w:rPr>
          <w:rFonts w:eastAsia="仿宋_GB2312" w:cs="宋体" w:hint="eastAsia" w:ascii="仿宋_GB2312" w:hAnsi="仿宋_GB2312"/>
          <w:sz w:val="30"/>
          <w:szCs w:val="30"/>
        </w:rPr>
        <w:t>12</w:t>
      </w:r>
      <w:r>
        <w:rPr>
          <w:rFonts w:ascii="仿宋_GB2312" w:hAnsi="仿宋_GB2312" w:cs="宋体" w:hint="eastAsia" w:eastAsia="仿宋_GB2312"/>
          <w:sz w:val="30"/>
          <w:szCs w:val="30"/>
        </w:rPr>
        <w:t>月</w:t>
      </w:r>
      <w:r>
        <w:rPr>
          <w:rFonts w:eastAsia="仿宋_GB2312" w:cs="宋体" w:hint="eastAsia" w:ascii="仿宋_GB2312" w:hAnsi="仿宋_GB2312"/>
          <w:sz w:val="30"/>
          <w:szCs w:val="30"/>
        </w:rPr>
        <w:t>23</w:t>
      </w:r>
      <w:r>
        <w:rPr>
          <w:rFonts w:ascii="仿宋_GB2312" w:hAnsi="仿宋_GB2312" w:cs="宋体" w:hint="eastAsia" w:eastAsia="仿宋_GB2312"/>
          <w:sz w:val="30"/>
          <w:szCs w:val="30"/>
        </w:rPr>
        <w:t>日最高人民法院审判委员会第</w:t>
      </w:r>
      <w:r>
        <w:rPr>
          <w:rFonts w:eastAsia="仿宋_GB2312" w:cs="宋体" w:hint="eastAsia" w:ascii="仿宋_GB2312" w:hAnsi="仿宋_GB2312"/>
          <w:sz w:val="30"/>
          <w:szCs w:val="30"/>
        </w:rPr>
        <w:t>1823</w:t>
      </w:r>
      <w:r>
        <w:rPr>
          <w:rFonts w:ascii="仿宋_GB2312" w:hAnsi="仿宋_GB2312" w:cs="宋体" w:hint="eastAsia" w:eastAsia="仿宋_GB2312"/>
          <w:sz w:val="30"/>
          <w:szCs w:val="30"/>
        </w:rPr>
        <w:t>次会议通过的《最高人民法院关于修改〈最高人民法院关于在民事审判工作中适用《中华人民共和国工会法》若干问题的解释〉等二十七件民事类司法解释的决定》修正）</w:t>
      </w:r>
    </w:p>
    <w:p>
      <w:pPr>
        <w:pStyle w:val="Style16"/>
        <w:spacing w:lineRule="exact" w:line="520"/>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甘肃省高级人民法院：</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你院《关于对国有土地经营权转让如何适用法律的请示》（甘高法〔</w:t>
      </w:r>
      <w:r>
        <w:rPr>
          <w:rFonts w:eastAsia="仿宋_GB2312" w:cs="宋体" w:hint="eastAsia" w:ascii="仿宋_GB2312" w:hAnsi="仿宋_GB2312"/>
          <w:sz w:val="30"/>
          <w:szCs w:val="30"/>
        </w:rPr>
        <w:t>2010</w:t>
      </w:r>
      <w:r>
        <w:rPr>
          <w:rFonts w:ascii="仿宋_GB2312" w:hAnsi="仿宋_GB2312" w:cs="宋体" w:hint="eastAsia" w:eastAsia="仿宋_GB2312"/>
          <w:sz w:val="30"/>
          <w:szCs w:val="30"/>
        </w:rPr>
        <w:t>〕</w:t>
      </w:r>
      <w:r>
        <w:rPr>
          <w:rFonts w:eastAsia="仿宋_GB2312" w:cs="宋体" w:hint="eastAsia" w:ascii="仿宋_GB2312" w:hAnsi="仿宋_GB2312"/>
          <w:sz w:val="30"/>
          <w:szCs w:val="30"/>
        </w:rPr>
        <w:t>84</w:t>
      </w:r>
      <w:r>
        <w:rPr>
          <w:rFonts w:ascii="仿宋_GB2312" w:hAnsi="仿宋_GB2312" w:cs="宋体" w:hint="eastAsia" w:eastAsia="仿宋_GB2312"/>
          <w:sz w:val="30"/>
          <w:szCs w:val="30"/>
        </w:rPr>
        <w:t>号）收悉。经研究，答复如下：</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开荒后用于农耕而未交由农民集体使用的国有土地，不属于《中华人民共和国农村土地承包法》第二条规定的农村土地。此类土地使用权的转让，不适用《中华人民共和国农村土地承包法》的规定，应适用《中华人民共和国民法典》和《中华人民共和国土地管理法》等相关法律规定加以规范。</w:t>
      </w:r>
    </w:p>
    <w:p>
      <w:pPr>
        <w:pStyle w:val="Style16"/>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对于国有土地开荒后用于农耕的土地使用权转让合同，不违反法律、行政法规的强制性规定的，当事人仅以转让方未取得土地使用权证书为由请求确认合同无效的，人民法院依法不予支持；当事人根据合同约定主张对方当事人履行办理土地使用权证书义务的，人民法院依法应予支持。</w:t>
      </w:r>
    </w:p>
    <w:sectPr>
      <w:footerReference w:type="default" r:id="rId2"/>
      <w:type w:val="nextPage"/>
      <w:pgSz w:w="11906" w:h="16838"/>
      <w:pgMar w:left="1800" w:right="1800" w:gutter="0" w:header="0" w:top="1440" w:footer="992" w:bottom="1440"/>
      <w:pgNumType w:start="0"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华文中宋">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2" behindDoc="0" locked="0" layoutInCell="0" allowOverlap="1">
              <wp:simplePos x="0" y="0"/>
              <wp:positionH relativeFrom="margin">
                <wp:align>outside</wp:align>
              </wp:positionH>
              <wp:positionV relativeFrom="paragraph">
                <wp:posOffset>635</wp:posOffset>
              </wp:positionV>
              <wp:extent cx="5778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5778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0</w:t>
                          </w:r>
                          <w:r>
                            <w:rPr/>
                            <w:fldChar w:fldCharType="end"/>
                          </w:r>
                        </w:p>
                      </w:txbxContent>
                    </wps:txbx>
                    <wps:bodyPr anchor="t" lIns="0" tIns="0" rIns="0" bIns="0">
                      <a:noAutofit/>
                    </wps:bodyPr>
                  </wps:wsp>
                </a:graphicData>
              </a:graphic>
            </wp:anchor>
          </w:drawing>
        </mc:Choice>
        <mc:Fallback>
          <w:pict>
            <v:rect fillcolor="#FFFFFF" style="position:absolute;rotation:-0;width:4.55pt;height:10.35pt;mso-wrap-distance-left:0pt;mso-wrap-distance-right:0pt;mso-wrap-distance-top:0pt;mso-wrap-distance-bottom:0pt;margin-top:0.05pt;mso-position-vertical-relative:text;margin-left:410.75pt;mso-position-horizontal:outside;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0</w:t>
                    </w:r>
                    <w:r>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眉 Char"/>
    <w:basedOn w:val="Style14"/>
    <w:qFormat/>
    <w:rPr>
      <w:kern w:val="2"/>
      <w:sz w:val="18"/>
      <w:szCs w:val="18"/>
    </w:rPr>
  </w:style>
  <w:style w:type="character" w:styleId="Char1">
    <w:name w:val="批注框文本 Char"/>
    <w:basedOn w:val="Style14"/>
    <w:qFormat/>
    <w:rPr>
      <w:kern w:val="2"/>
      <w:sz w:val="18"/>
      <w:szCs w:val="18"/>
    </w:rPr>
  </w:style>
  <w:style w:type="character" w:styleId="Char2">
    <w:name w:val="纯文本 Char"/>
    <w:basedOn w:val="Style14"/>
    <w:qFormat/>
    <w:rPr>
      <w:rFonts w:ascii="宋体" w:hAnsi="宋体" w:cs="Courier New"/>
      <w:kern w:val="2"/>
      <w:sz w:val="21"/>
      <w:szCs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6">
    <w:name w:val="纯文本"/>
    <w:basedOn w:val="Normal"/>
    <w:qFormat/>
    <w:pPr/>
    <w:rPr>
      <w:rFonts w:ascii="宋体" w:hAnsi="宋体" w:cs="Courier New"/>
      <w:szCs w:val="21"/>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ParaCharCharCharCharCharCharChar">
    <w:name w:val="默认段落字体 Para Char Char Char Char Char Char Char"/>
    <w:basedOn w:val="Normal"/>
    <w:qFormat/>
    <w:pPr/>
    <w:rPr/>
  </w:style>
  <w:style w:type="paragraph" w:styleId="Style17">
    <w:name w:val="称呼"/>
    <w:basedOn w:val="Normal"/>
    <w:next w:val="Normal"/>
    <w:qFormat/>
    <w:pPr>
      <w:jc w:val="center"/>
    </w:pPr>
    <w:rPr>
      <w:rFonts w:eastAsia="楷体"/>
      <w:sz w:val="3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15840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2021-03-02T14:37:00Z</dcterms:created>
  <dc:creator>Lenovo User</dc:creator>
  <dc:description/>
  <dc:language>en-US</dc:language>
  <cp:lastModifiedBy>张晓光</cp:lastModifiedBy>
  <cp:lastPrinted>2014-04-03T17:04:00Z</cp:lastPrinted>
  <dcterms:modified xsi:type="dcterms:W3CDTF">2021-04-14T08:25:00Z</dcterms:modified>
  <cp:revision>15</cp:revision>
  <dc:subject/>
  <dc:title>《最高人民法院、最高人民检察院关于废止1980年1月1日至1997年6月30日期间制发的部分司法解释和司法解释性质文件的决定》已于2012年11月19日由最高人民法院审判委员会第1560次会议、2012年12月19日由最高人民检察院第十一届检察委员会第83次会议通过，现予公布，自2013年1月18日起施行</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2052-11.1.0.9740</vt:lpwstr>
  </property>
</Properties>
</file>