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sz w:val="36"/>
          <w:szCs w:val="36"/>
        </w:rPr>
      </w:pPr>
      <w:r>
        <w:rPr>
          <w:rFonts w:ascii="华文中宋" w:hAnsi="华文中宋" w:cs="宋体" w:hint="eastAsia" w:eastAsia="华文中宋"/>
          <w:sz w:val="36"/>
          <w:szCs w:val="36"/>
        </w:rPr>
        <w:t>最高人民法院</w:t>
      </w:r>
    </w:p>
    <w:p>
      <w:pPr>
        <w:pStyle w:val="Style16"/>
        <w:keepNext w:val="false"/>
        <w:keepLines w:val="false"/>
        <w:pageBreakBefore w:val="false"/>
        <w:widowControl w:val="false"/>
        <w:kinsoku w:val="true"/>
        <w:overflowPunct w:val="true"/>
        <w:autoSpaceDE w:val="true"/>
        <w:bidi w:val="0"/>
        <w:snapToGrid w:val="true"/>
        <w:spacing w:lineRule="exact" w:line="520"/>
        <w:ind w:firstLineChars="0" w:firstLine="0" w:startChars="0" w:start="0" w:endChars="0" w:end="0"/>
        <w:jc w:val="center"/>
        <w:textAlignment w:val="auto"/>
        <w:rPr>
          <w:rFonts w:ascii="华文中宋" w:hAnsi="华文中宋" w:eastAsia="华文中宋" w:cs="宋体" w:hint="eastAsia"/>
          <w:sz w:val="36"/>
          <w:szCs w:val="36"/>
        </w:rPr>
      </w:pPr>
      <w:r>
        <w:rPr>
          <w:rFonts w:ascii="华文中宋" w:hAnsi="华文中宋" w:cs="宋体" w:hint="eastAsia" w:eastAsia="华文中宋"/>
          <w:sz w:val="36"/>
          <w:szCs w:val="36"/>
        </w:rPr>
        <w:t>关于审理融资租赁合同纠纷案件适用法律问题的解释</w:t>
      </w:r>
    </w:p>
    <w:p>
      <w:pPr>
        <w:pStyle w:val="Style16"/>
        <w:spacing w:lineRule="exact" w:line="520"/>
        <w:ind w:firstLineChars="200" w:startChars="0" w:start="0" w:endChars="0" w:end="0"/>
        <w:jc w:val="center"/>
        <w:rPr>
          <w:rFonts w:ascii="华文中宋" w:hAnsi="华文中宋" w:eastAsia="华文中宋" w:cs="宋体" w:hint="eastAsia"/>
          <w:sz w:val="36"/>
          <w:szCs w:val="36"/>
        </w:rPr>
      </w:pPr>
      <w:r>
        <w:rPr>
          <w:rFonts w:eastAsia="华文中宋" w:cs="宋体" w:hint="eastAsia" w:ascii="华文中宋" w:hAnsi="华文中宋"/>
          <w:sz w:val="36"/>
          <w:szCs w:val="36"/>
        </w:rPr>
      </w:r>
    </w:p>
    <w:p>
      <w:pPr>
        <w:pStyle w:val="Style16"/>
        <w:spacing w:lineRule="exact" w:line="520"/>
        <w:ind w:firstLineChars="200" w:startChars="0" w:start="0" w:endChars="0" w:end="0"/>
        <w:jc w:val="center"/>
        <w:rPr>
          <w:rFonts w:ascii="仿宋_GB2312" w:hAnsi="仿宋_GB2312" w:eastAsia="仿宋_GB2312" w:cs="宋体" w:hint="eastAsia"/>
          <w:sz w:val="30"/>
          <w:szCs w:val="30"/>
        </w:rPr>
      </w:pPr>
      <w:r>
        <w:rPr>
          <w:rFonts w:ascii="仿宋_GB2312" w:hAnsi="仿宋_GB2312" w:cs="宋体" w:hint="eastAsia" w:eastAsia="仿宋_GB2312"/>
          <w:sz w:val="30"/>
          <w:szCs w:val="30"/>
        </w:rPr>
        <w:t>（</w:t>
      </w:r>
      <w:r>
        <w:rPr>
          <w:rFonts w:eastAsia="仿宋_GB2312" w:cs="宋体" w:hint="eastAsia" w:ascii="仿宋_GB2312" w:hAnsi="仿宋_GB2312"/>
          <w:sz w:val="30"/>
          <w:szCs w:val="30"/>
        </w:rPr>
        <w:t>2013</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11</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25</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1597</w:t>
      </w:r>
      <w:r>
        <w:rPr>
          <w:rFonts w:ascii="仿宋_GB2312" w:hAnsi="仿宋_GB2312" w:cs="宋体" w:hint="eastAsia" w:eastAsia="仿宋_GB2312"/>
          <w:sz w:val="30"/>
          <w:szCs w:val="30"/>
        </w:rPr>
        <w:t>次会议通过，根据</w:t>
      </w:r>
      <w:r>
        <w:rPr>
          <w:rFonts w:eastAsia="仿宋_GB2312" w:cs="宋体" w:hint="eastAsia" w:ascii="仿宋_GB2312" w:hAnsi="仿宋_GB2312"/>
          <w:sz w:val="30"/>
          <w:szCs w:val="30"/>
        </w:rPr>
        <w:t>2020</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12</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23</w:t>
      </w:r>
      <w:r>
        <w:rPr>
          <w:rFonts w:ascii="仿宋_GB2312" w:hAnsi="仿宋_GB2312" w:cs="宋体" w:hint="eastAsia" w:eastAsia="仿宋_GB2312"/>
          <w:sz w:val="30"/>
          <w:szCs w:val="30"/>
        </w:rPr>
        <w:t>日最高人民法院审判委员会第</w:t>
      </w:r>
      <w:r>
        <w:rPr>
          <w:rFonts w:eastAsia="仿宋_GB2312" w:cs="宋体" w:hint="eastAsia" w:ascii="仿宋_GB2312" w:hAnsi="仿宋_GB2312"/>
          <w:sz w:val="30"/>
          <w:szCs w:val="30"/>
        </w:rPr>
        <w:t>1823</w:t>
      </w:r>
      <w:r>
        <w:rPr>
          <w:rFonts w:ascii="仿宋_GB2312" w:hAnsi="仿宋_GB2312" w:cs="宋体" w:hint="eastAsia" w:eastAsia="仿宋_GB2312"/>
          <w:sz w:val="30"/>
          <w:szCs w:val="30"/>
        </w:rPr>
        <w:t>次会议通过的《最高人民法院关于修改〈最高人民法院关于在民事审判工作中适用《中华人民共和国工会法》若干问题的解释〉等二十七件民事类司法解释的决定》修正）</w:t>
      </w:r>
    </w:p>
    <w:p>
      <w:pPr>
        <w:pStyle w:val="Style16"/>
        <w:spacing w:lineRule="exact" w:line="520"/>
        <w:ind w:firstLineChars="200" w:startChars="0" w:start="0" w:endChars="0" w:end="0"/>
        <w:rPr>
          <w:rFonts w:ascii="仿宋_GB2312" w:hAnsi="仿宋_GB2312" w:eastAsia="仿宋_GB2312" w:cs="宋体" w:hint="eastAsia"/>
          <w:sz w:val="32"/>
          <w:szCs w:val="32"/>
        </w:rPr>
      </w:pPr>
      <w:r>
        <w:rPr>
          <w:rFonts w:eastAsia="仿宋_GB2312" w:cs="宋体" w:hint="eastAsia" w:ascii="仿宋_GB2312" w:hAnsi="仿宋_GB2312"/>
          <w:sz w:val="32"/>
          <w:szCs w:val="32"/>
        </w:rPr>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为正确审理融资租赁合同纠纷案件，根据《中华人民共和国民法典》《中华人民共和国民事诉讼法》等法律的规定，结合审判实践，制定本解释。</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一、融资租赁合同的认定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第一条</w:t>
      </w:r>
      <w:r>
        <w:rPr>
          <w:rFonts w:ascii="仿宋_GB2312" w:hAnsi="仿宋_GB2312" w:cs="宋体" w:hint="eastAsia" w:eastAsia="黑体"/>
          <w:sz w:val="30"/>
          <w:szCs w:val="30"/>
        </w:rPr>
        <w:t>　</w:t>
      </w:r>
      <w:r>
        <w:rPr>
          <w:rFonts w:ascii="仿宋_GB2312" w:hAnsi="仿宋_GB2312" w:cs="宋体" w:hint="eastAsia" w:eastAsia="仿宋_GB2312"/>
          <w:sz w:val="30"/>
          <w:szCs w:val="30"/>
        </w:rPr>
        <w:t>人民法院应当根据民法典第七百三十五条的规定，结合标的物的性质、价值、租金的构成以及当事人的合同权利和义务，对是否构成融资租赁法律关系作出认定。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对名为融资租赁合同，但实际不构成融资租赁法律关系的，人民法院应按照其实际构成的法律关系处理。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第二条</w:t>
      </w:r>
      <w:r>
        <w:rPr>
          <w:rFonts w:ascii="仿宋_GB2312" w:hAnsi="仿宋_GB2312" w:cs="宋体" w:hint="eastAsia" w:eastAsia="黑体"/>
          <w:sz w:val="30"/>
          <w:szCs w:val="30"/>
        </w:rPr>
        <w:t>　</w:t>
      </w:r>
      <w:r>
        <w:rPr>
          <w:rFonts w:ascii="仿宋_GB2312" w:hAnsi="仿宋_GB2312" w:cs="宋体" w:hint="eastAsia" w:eastAsia="仿宋_GB2312"/>
          <w:sz w:val="30"/>
          <w:szCs w:val="30"/>
        </w:rPr>
        <w:t>承租人将其自有物出卖给出租人，再通过融资租赁合同将租赁物从出租人处租回的，人民法院不应仅以承租人和出卖人系同一人为由认定不构成融资租赁法律关系。</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二、合同的履行和租赁物的公示</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第三条</w:t>
      </w:r>
      <w:r>
        <w:rPr>
          <w:rFonts w:ascii="仿宋_GB2312" w:hAnsi="仿宋_GB2312" w:cs="宋体" w:hint="eastAsia" w:eastAsia="黑体"/>
          <w:sz w:val="30"/>
          <w:szCs w:val="30"/>
        </w:rPr>
        <w:t>　</w:t>
      </w:r>
      <w:r>
        <w:rPr>
          <w:rFonts w:ascii="仿宋_GB2312" w:hAnsi="仿宋_GB2312" w:cs="宋体" w:hint="eastAsia" w:eastAsia="仿宋_GB2312"/>
          <w:sz w:val="30"/>
          <w:szCs w:val="30"/>
        </w:rPr>
        <w:t>承租人拒绝受领租赁物，未及时通知出租人，或者无正当理由拒绝受领租赁物，造成出租人损失，出租人向承租人主张损害赔偿的，人民法院应予支持。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第四条　出租人转让其在融资租赁合同项下的部分或者全部权利，受让方以此为由请求解除或者变更融资租赁合同的，人民法院不予支持。</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三、合同的解除</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第五条　有下列情形之一，出租人请求解除融资租赁合同的，人民法院应予支持：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（一）承租人未按照合同约定的期限和数额支付租金，符合合同约定的解除条件，经出租人催告后在合理期限内仍不支付的；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（二）合同对于欠付租金解除合同的情形没有明确约定，但承租人欠付租金达到两期以上，或者数额达到全部租金百分之十五以上，经出租人催告后在合理期限内仍不支付的；</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（三）承租人违反合同约定，致使合同目的不能实现的其他情形。</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第六条　因出租人的原因致使承租人无法占有、使用租赁物，承租人请求解除融资租赁合同的，人民法院应予支持。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第七条　当事人在一审诉讼中仅请求解除融资租赁合同，未对租赁物的归属及损失赔偿提出主张的，人民法院可以向当事人进行释明。</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四、违约责任</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第八条　租赁物不符合融资租赁合同的约定且出租人实施了下列行为之一，承租人依照民法典第七百四十四条、第七百四十七条的规定，要求出租人承担相应责任的，人民法院应予支持：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（一）出租人在承租人选择出卖人、租赁物时，对租赁物的选定起决定作用的；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（二）出租人干预或者要求承租人按照出租人意愿选择出卖人或者租赁物的；</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（三）出租人擅自变更承租人已经选定的出卖人或者租赁物的。</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承租人主张其系依赖出租人的技能确定租赁物或者出租人干预选择租赁物的，对上述事实承担举证责任。</w:t>
      </w:r>
    </w:p>
    <w:p>
      <w:pPr>
        <w:pStyle w:val="Style16"/>
        <w:spacing w:lineRule="exact" w:line="520"/>
        <w:ind w:firstLineChars="200" w:startChars="0" w:start="0" w:endChars="0" w:end="0"/>
        <w:rPr>
          <w:rFonts w:ascii="仿宋_GB2312" w:hAnsi="仿宋_GB2312" w:eastAsia="仿宋_GB2312" w:cs="宋体" w:hint="eastAsia"/>
          <w:sz w:val="30"/>
          <w:szCs w:val="30"/>
        </w:rPr>
      </w:pPr>
      <w:r>
        <w:rPr>
          <w:rFonts w:ascii="仿宋_GB2312" w:hAnsi="仿宋_GB2312" w:cs="宋体" w:hint="eastAsia" w:eastAsia="仿宋_GB2312"/>
          <w:sz w:val="30"/>
          <w:szCs w:val="30"/>
        </w:rPr>
        <w:t>第九条　承租人逾期履行支付租金义务或者迟延履行其他付款义务，出租人按照融资租赁合同的约定要求承租人支付逾期利息、相应违约金的，人民法院应予支持。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第十条　出租人既请求承租人支付合同约定的全部未付租金又请求解除融资租赁合同的，人民法院应告知其依照民法典第七百五十二条的规定作出选择。</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出租人请求承租人支付合同约定的全部未付租金，人民法院判决后承租人未予履行，出租人再行起诉请求解除融资租赁合同、收回租赁物的，人民法院应予受理。</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第十一条出租人依照本解释第五条的规定请求解除融资租赁合同，同时请求收回租赁物并赔偿损失的，人民法院应予支持。</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前款规定的损失赔偿范围为承租人全部未付租金及其他费用与收回租赁物价值的差额。合同约定租赁期间届满后租赁物归出租人所有的，损失赔偿范围还应包括融资租赁合同到期后租赁物的残值。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二条诉讼期间承租人与出租人对租赁物的价值有争议的，人民法院可以按照融资租赁合同的约定确定租赁物价值；融资租赁合同未约定或者约定不明的，可以参照融资租赁合同约定的租赁物折旧以及合同到期后租赁物的残值确定租赁物价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承租人或者出租人认为依前款确定的价值严重偏离租赁物实际价值的，可以请求人民法院委托有资质的机构评估或者拍卖确定。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五、其他规定</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三条出卖人与买受人因买卖合同发生纠纷，或者出租人与承租人因融资租赁合同发生纠纷，当事人仅对其中一个合同关系提起诉讼，人民法院经审查后认为另一合同关系的当事人与案件处理结果有法律上的利害关系的，可以通知其作为第三人参加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承租人与租赁物的实际使用人不一致，融资租赁合同当事人未对租赁物的实际使用人提起诉讼，人民法院经审查后认为租赁物的实际使用人与案件处理结果有法律上的利害关系的，可以通知其作为第三人参加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承租人基于买卖合同和融资租赁合同直接向出卖人主张受领租赁物、索赔等买卖合同权利的，人民法院应通知出租人作为第三人参加诉讼。</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第十四条当事人因融资租赁合同租金欠付争议向人民法院请求保护其权利的诉讼时效期间为三年，自租赁期限届满之日起计算。</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第十五条本解释自</w:t>
      </w:r>
      <w:r>
        <w:rPr>
          <w:rFonts w:eastAsia="仿宋_GB2312" w:cs="宋体" w:hint="eastAsia" w:ascii="仿宋_GB2312" w:hAnsi="仿宋_GB2312"/>
          <w:sz w:val="30"/>
          <w:szCs w:val="30"/>
        </w:rPr>
        <w:t>2014</w:t>
      </w:r>
      <w:r>
        <w:rPr>
          <w:rFonts w:ascii="仿宋_GB2312" w:hAnsi="仿宋_GB2312" w:cs="宋体" w:hint="eastAsia" w:eastAsia="仿宋_GB2312"/>
          <w:sz w:val="30"/>
          <w:szCs w:val="30"/>
        </w:rPr>
        <w:t>年</w:t>
      </w:r>
      <w:r>
        <w:rPr>
          <w:rFonts w:eastAsia="仿宋_GB2312" w:cs="宋体" w:hint="eastAsia" w:ascii="仿宋_GB2312" w:hAnsi="仿宋_GB2312"/>
          <w:sz w:val="30"/>
          <w:szCs w:val="30"/>
        </w:rPr>
        <w:t>3</w:t>
      </w:r>
      <w:r>
        <w:rPr>
          <w:rFonts w:ascii="仿宋_GB2312" w:hAnsi="仿宋_GB2312" w:cs="宋体" w:hint="eastAsia" w:eastAsia="仿宋_GB2312"/>
          <w:sz w:val="30"/>
          <w:szCs w:val="30"/>
        </w:rPr>
        <w:t>月</w:t>
      </w:r>
      <w:r>
        <w:rPr>
          <w:rFonts w:eastAsia="仿宋_GB2312" w:cs="宋体" w:hint="eastAsia" w:ascii="仿宋_GB2312" w:hAnsi="仿宋_GB2312"/>
          <w:sz w:val="30"/>
          <w:szCs w:val="30"/>
        </w:rPr>
        <w:t>1</w:t>
      </w:r>
      <w:r>
        <w:rPr>
          <w:rFonts w:ascii="仿宋_GB2312" w:hAnsi="仿宋_GB2312" w:cs="宋体" w:hint="eastAsia" w:eastAsia="仿宋_GB2312"/>
          <w:sz w:val="30"/>
          <w:szCs w:val="30"/>
        </w:rPr>
        <w:t>日起施行。《最高人民法院关于审理融资租赁合同纠纷案件若干问题的规定》（法发〔</w:t>
      </w:r>
      <w:r>
        <w:rPr>
          <w:rFonts w:eastAsia="仿宋_GB2312" w:cs="宋体" w:hint="eastAsia" w:ascii="仿宋_GB2312" w:hAnsi="仿宋_GB2312"/>
          <w:sz w:val="30"/>
          <w:szCs w:val="30"/>
        </w:rPr>
        <w:t>1996</w:t>
      </w:r>
      <w:r>
        <w:rPr>
          <w:rFonts w:ascii="仿宋_GB2312" w:hAnsi="仿宋_GB2312" w:cs="宋体" w:hint="eastAsia" w:eastAsia="仿宋_GB2312"/>
          <w:sz w:val="30"/>
          <w:szCs w:val="30"/>
        </w:rPr>
        <w:t>〕</w:t>
      </w:r>
      <w:r>
        <w:rPr>
          <w:rFonts w:eastAsia="仿宋_GB2312" w:cs="宋体" w:hint="eastAsia" w:ascii="仿宋_GB2312" w:hAnsi="仿宋_GB2312"/>
          <w:sz w:val="30"/>
          <w:szCs w:val="30"/>
        </w:rPr>
        <w:t>19</w:t>
      </w:r>
      <w:r>
        <w:rPr>
          <w:rFonts w:ascii="仿宋_GB2312" w:hAnsi="仿宋_GB2312" w:cs="宋体" w:hint="eastAsia" w:eastAsia="仿宋_GB2312"/>
          <w:sz w:val="30"/>
          <w:szCs w:val="30"/>
        </w:rPr>
        <w:t>号）同时废止。</w:t>
      </w:r>
    </w:p>
    <w:p>
      <w:pPr>
        <w:pStyle w:val="Style16"/>
        <w:spacing w:lineRule="exact" w:line="520"/>
        <w:ind w:firstLineChars="200" w:startChars="0" w:start="0" w:endChars="0" w:end="0"/>
        <w:rPr>
          <w:rFonts w:ascii="仿宋_GB2312" w:hAnsi="仿宋_GB2312" w:eastAsia="仿宋_GB2312" w:cs="宋体"/>
          <w:sz w:val="30"/>
          <w:szCs w:val="30"/>
        </w:rPr>
      </w:pPr>
      <w:r>
        <w:rPr>
          <w:rFonts w:ascii="仿宋_GB2312" w:hAnsi="仿宋_GB2312" w:cs="宋体" w:hint="eastAsia" w:eastAsia="仿宋_GB2312"/>
          <w:sz w:val="30"/>
          <w:szCs w:val="30"/>
        </w:rPr>
        <w:t>本解释施行后尚未终审的融资租赁合同纠纷案件，适用本解释；本解释施行前已经终审，当事人申请再审或者按照审判监督程序决定再审的，不适用本解释。</w:t>
      </w:r>
    </w:p>
    <w:p>
      <w:pPr>
        <w:pStyle w:val="Style16"/>
        <w:spacing w:lineRule="exact" w:line="520"/>
        <w:ind w:firstLineChars="200" w:startChars="0" w:start="0" w:endChars="0" w:end="0"/>
        <w:rPr>
          <w:rFonts w:ascii="仿宋_GB2312" w:hAnsi="仿宋_GB2312" w:eastAsia="仿宋_GB2312" w:cs="宋体"/>
          <w:sz w:val="30"/>
          <w:szCs w:val="30"/>
        </w:rPr>
      </w:pPr>
      <w:r>
        <w:rPr>
          <w:rFonts w:eastAsia="仿宋_GB2312" w:cs="宋体" w:ascii="仿宋_GB2312" w:hAnsi="仿宋_GB2312"/>
          <w:sz w:val="30"/>
          <w:szCs w:val="30"/>
        </w:rPr>
      </w:r>
    </w:p>
    <w:sectPr>
      <w:footerReference w:type="default" r:id="rId2"/>
      <w:type w:val="nextPage"/>
      <w:pgSz w:w="11906" w:h="16838"/>
      <w:pgMar w:left="1800" w:right="1800" w:gutter="0" w:header="0" w:top="1440" w:footer="992" w:bottom="1440"/>
      <w:pgNumType w:start="0"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华文中宋">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5" behindDoc="0" locked="0" layoutInCell="0" allowOverlap="1">
              <wp:simplePos x="0" y="0"/>
              <wp:positionH relativeFrom="margin">
                <wp:align>outside</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3</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批注框文本 Char"/>
    <w:basedOn w:val="Style14"/>
    <w:qFormat/>
    <w:rPr>
      <w:kern w:val="2"/>
      <w:sz w:val="18"/>
      <w:szCs w:val="18"/>
    </w:rPr>
  </w:style>
  <w:style w:type="character" w:styleId="Char1">
    <w:name w:val="纯文本 Char"/>
    <w:basedOn w:val="Style14"/>
    <w:qFormat/>
    <w:rPr>
      <w:rFonts w:ascii="宋体" w:hAnsi="宋体" w:cs="Courier New"/>
      <w:kern w:val="2"/>
      <w:sz w:val="21"/>
      <w:szCs w:val="21"/>
    </w:rPr>
  </w:style>
  <w:style w:type="character" w:styleId="Char2">
    <w:name w:val="页眉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称呼"/>
    <w:basedOn w:val="Normal"/>
    <w:next w:val="Normal"/>
    <w:qFormat/>
    <w:pPr>
      <w:jc w:val="center"/>
    </w:pPr>
    <w:rPr>
      <w:rFonts w:eastAsia="楷体"/>
      <w:sz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纯文本"/>
    <w:basedOn w:val="Normal"/>
    <w:qFormat/>
    <w:pPr/>
    <w:rPr>
      <w:rFonts w:ascii="宋体" w:hAnsi="宋体" w:cs="Courier New"/>
      <w:szCs w:val="21"/>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7">
    <w:name w:val="批注框文本"/>
    <w:basedOn w:val="Normal"/>
    <w:qFormat/>
    <w:pPr/>
    <w:rPr>
      <w:sz w:val="18"/>
      <w:szCs w:val="18"/>
    </w:rPr>
  </w:style>
  <w:style w:type="paragraph" w:styleId="ParaCharCharCharCharCharCharChar">
    <w:name w:val="默认段落字体 Para Char Char Char Char Char Char Char"/>
    <w:basedOn w:val="Normal"/>
    <w:qFormat/>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2021-03-02T14:37:00Z</dcterms:created>
  <dc:creator>Lenovo User</dc:creator>
  <dc:description/>
  <dc:language>en-US</dc:language>
  <cp:lastModifiedBy>张晓光</cp:lastModifiedBy>
  <cp:lastPrinted>2014-04-03T17:04:00Z</cp:lastPrinted>
  <dcterms:modified xsi:type="dcterms:W3CDTF">2021-04-14T08:27:03Z</dcterms:modified>
  <cp:revision>15</cp:revision>
  <dc:subject/>
  <dc:title>《最高人民法院、最高人民检察院关于废止1980年1月1日至1997年6月30日期间制发的部分司法解释和司法解释性质文件的决定》已于2012年11月19日由最高人民法院审判委员会第1560次会议、2012年12月19日由最高人民检察院第十一届检察委员会第83次会议通过，现予公布，自2013年1月18日起施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2052-11.1.0.9740</vt:lpwstr>
  </property>
</Properties>
</file>