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40" w:before="0" w:after="0"/>
        <w:ind w:hanging="0" w:end="0"/>
        <w:jc w:val="center"/>
        <w:rPr>
          <w:rFonts w:ascii="宋体" w:hAnsi="宋体" w:eastAsia="宋体"/>
          <w:b/>
          <w:bCs/>
          <w:sz w:val="44"/>
          <w:lang w:val="en-US" w:eastAsia="zh-CN"/>
        </w:rPr>
      </w:pPr>
      <w:r>
        <w:rPr>
          <w:rFonts w:eastAsia="宋体" w:ascii="宋体" w:hAnsi="宋体"/>
          <w:b/>
          <w:bCs/>
          <w:sz w:val="44"/>
          <w:lang w:val="en-US" w:eastAsia="zh-CN"/>
        </w:rPr>
        <w:t xml:space="preserve"> </w:t>
      </w:r>
    </w:p>
    <w:p>
      <w:pPr>
        <w:pStyle w:val="BodyText"/>
        <w:spacing w:lineRule="exact" w:line="540" w:before="0" w:after="0"/>
        <w:ind w:hanging="0" w:end="0"/>
        <w:jc w:val="center"/>
        <w:rPr>
          <w:rFonts w:ascii="宋体" w:hAnsi="宋体" w:eastAsia="宋体"/>
          <w:b/>
          <w:bCs/>
          <w:sz w:val="44"/>
          <w:lang w:val="en-US" w:eastAsia="zh-CN"/>
        </w:rPr>
      </w:pPr>
      <w:r>
        <w:rPr>
          <w:rFonts w:eastAsia="宋体" w:ascii="宋体" w:hAnsi="宋体"/>
          <w:b/>
          <w:bCs/>
          <w:sz w:val="44"/>
          <w:lang w:val="en-US" w:eastAsia="zh-CN"/>
        </w:rPr>
      </w:r>
    </w:p>
    <w:p>
      <w:pPr>
        <w:pStyle w:val="BodyText"/>
        <w:spacing w:lineRule="exact" w:line="540" w:before="0" w:after="0"/>
        <w:ind w:hanging="0" w:end="0"/>
        <w:jc w:val="center"/>
        <w:rPr>
          <w:rFonts w:ascii="宋体" w:hAnsi="宋体" w:eastAsia="宋体" w:hint="eastAsia"/>
          <w:b w:val="false"/>
          <w:bCs w:val="false"/>
          <w:sz w:val="44"/>
        </w:rPr>
      </w:pPr>
      <w:r>
        <w:rPr>
          <w:rFonts w:ascii="宋体" w:hAnsi="宋体" w:hint="eastAsia" w:eastAsia="宋体"/>
          <w:b w:val="false"/>
          <w:bCs w:val="false"/>
          <w:sz w:val="44"/>
        </w:rPr>
        <w:t>深圳市建筑市场严重违法行为</w:t>
      </w:r>
    </w:p>
    <w:p>
      <w:pPr>
        <w:pStyle w:val="BodyText"/>
        <w:spacing w:lineRule="exact" w:line="540" w:before="0" w:after="0"/>
        <w:ind w:hanging="0" w:end="0"/>
        <w:jc w:val="center"/>
        <w:rPr>
          <w:rFonts w:ascii="宋体" w:hAnsi="宋体" w:eastAsia="宋体" w:hint="eastAsia"/>
          <w:b w:val="false"/>
          <w:bCs w:val="false"/>
          <w:sz w:val="44"/>
          <w:lang w:eastAsia="zh-CN"/>
        </w:rPr>
      </w:pPr>
      <w:r>
        <w:rPr>
          <w:rFonts w:ascii="宋体" w:hAnsi="宋体" w:hint="eastAsia" w:eastAsia="宋体"/>
          <w:b w:val="false"/>
          <w:bCs w:val="false"/>
          <w:sz w:val="44"/>
        </w:rPr>
        <w:t>特别处理</w:t>
      </w:r>
      <w:r>
        <w:rPr>
          <w:rFonts w:ascii="宋体" w:hAnsi="宋体" w:hint="eastAsia" w:eastAsia="宋体"/>
          <w:b w:val="false"/>
          <w:bCs w:val="false"/>
          <w:sz w:val="44"/>
          <w:lang w:eastAsia="zh-CN"/>
        </w:rPr>
        <w:t>规定</w:t>
      </w:r>
    </w:p>
    <w:p>
      <w:pPr>
        <w:pStyle w:val="Normal"/>
        <w:spacing w:lineRule="exact" w:line="560"/>
        <w:jc w:val="center"/>
        <w:rPr>
          <w:rFonts w:ascii="楷体_GB2312" w:hAnsi="楷体_GB2312" w:eastAsia="楷体_GB2312" w:hint="eastAsia"/>
          <w:b w:val="false"/>
          <w:bCs w:val="false"/>
          <w:sz w:val="28"/>
          <w:lang w:eastAsia="zh-CN"/>
        </w:rPr>
      </w:pPr>
      <w:r>
        <w:rPr>
          <w:rFonts w:eastAsia="楷体_GB2312" w:hint="eastAsia" w:ascii="楷体_GB2312" w:hAnsi="楷体_GB2312"/>
          <w:b w:val="false"/>
          <w:bCs w:val="false"/>
          <w:sz w:val="28"/>
          <w:lang w:eastAsia="zh-CN"/>
        </w:rPr>
      </w:r>
    </w:p>
    <w:p>
      <w:pPr>
        <w:pStyle w:val="Normal"/>
        <w:spacing w:lineRule="exact" w:line="560"/>
        <w:jc w:val="both"/>
        <w:rPr>
          <w:rFonts w:ascii="楷体_GB2312" w:hAnsi="楷体_GB2312" w:eastAsia="楷体_GB2312" w:cs="楷体_GB2312" w:hint="eastAsia"/>
          <w:sz w:val="32"/>
          <w:szCs w:val="32"/>
          <w:lang w:val="en-US"/>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日深圳市第四届人民代表大会常务委员会第十次会议通过  </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日广东省第十届人民代表大会常务委员会第三十三次会议批准 </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lang w:bidi="ar"/>
        </w:rPr>
        <w:t>根据</w:t>
      </w:r>
      <w:r>
        <w:rPr>
          <w:rFonts w:eastAsia="楷体_GB2312" w:cs="楷体_GB2312" w:hint="eastAsia" w:ascii="楷体_GB2312" w:hAnsi="楷体_GB2312"/>
          <w:sz w:val="32"/>
          <w:szCs w:val="32"/>
          <w:lang w:bidi="ar"/>
        </w:rPr>
        <w:t>2019</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10</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31</w:t>
      </w:r>
      <w:r>
        <w:rPr>
          <w:rFonts w:ascii="楷体_GB2312" w:hAnsi="楷体_GB2312" w:cs="楷体_GB2312" w:hint="eastAsia" w:eastAsia="楷体_GB2312"/>
          <w:sz w:val="32"/>
          <w:szCs w:val="32"/>
          <w:lang w:bidi="ar"/>
        </w:rPr>
        <w:t>日深圳市第六届人民代表大会常务委员会第三十六次会议通过并经</w:t>
      </w:r>
      <w:r>
        <w:rPr>
          <w:rFonts w:eastAsia="楷体_GB2312" w:cs="楷体_GB2312" w:hint="eastAsia" w:ascii="楷体_GB2312" w:hAnsi="楷体_GB2312"/>
          <w:sz w:val="32"/>
          <w:szCs w:val="32"/>
          <w:lang w:bidi="ar"/>
        </w:rPr>
        <w:t>2020</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6</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23</w:t>
      </w:r>
      <w:r>
        <w:rPr>
          <w:rFonts w:ascii="楷体_GB2312" w:hAnsi="楷体_GB2312" w:cs="楷体_GB2312" w:hint="eastAsia" w:eastAsia="楷体_GB2312"/>
          <w:sz w:val="32"/>
          <w:szCs w:val="32"/>
          <w:lang w:bidi="ar"/>
        </w:rPr>
        <w:t>日广东省第十三届人民代表大会常务委员会第二十一次会议批准的《关于修改〈深圳市安全管理条例〉等十三项法规的决定》修正</w:t>
      </w:r>
      <w:r>
        <w:rPr>
          <w:rFonts w:ascii="楷体_GB2312" w:hAnsi="楷体_GB2312" w:cs="楷体_GB2312" w:hint="eastAsia" w:eastAsia="楷体_GB2312"/>
          <w:sz w:val="32"/>
          <w:szCs w:val="32"/>
        </w:rPr>
        <w:t xml:space="preserve"> ）</w:t>
      </w:r>
    </w:p>
    <w:p>
      <w:pPr>
        <w:pStyle w:val="Normal"/>
        <w:spacing w:lineRule="exact" w:line="540"/>
        <w:jc w:val="center"/>
        <w:rPr>
          <w:rFonts w:ascii="楷体_GB2312" w:hAnsi="楷体_GB2312" w:eastAsia="楷体_GB2312" w:cs="楷体_GB2312" w:hint="eastAsia"/>
          <w:sz w:val="28"/>
          <w:szCs w:val="28"/>
          <w:lang w:val="en-US"/>
        </w:rPr>
      </w:pPr>
      <w:r>
        <w:rPr>
          <w:rFonts w:eastAsia="楷体_GB2312" w:cs="楷体_GB2312" w:hint="eastAsia" w:ascii="楷体_GB2312" w:hAnsi="楷体_GB2312"/>
          <w:sz w:val="28"/>
          <w:szCs w:val="28"/>
          <w:lang w:val="en-US"/>
        </w:rPr>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eastAsia="黑体"/>
          <w:sz w:val="32"/>
          <w:szCs w:val="30"/>
        </w:rPr>
        <w:t>第一条</w:t>
      </w:r>
      <w:r>
        <w:rPr>
          <w:rFonts w:ascii="仿宋_GB2312" w:hAnsi="仿宋_GB2312" w:cs="仿宋_GB2312" w:eastAsia="仿宋_GB2312"/>
          <w:sz w:val="32"/>
          <w:szCs w:val="30"/>
        </w:rPr>
        <w:t xml:space="preserve">  为</w:t>
      </w:r>
      <w:r>
        <w:rPr>
          <w:rFonts w:ascii="仿宋_GB2312" w:hAnsi="仿宋_GB2312" w:cs="仿宋_GB2312" w:hint="eastAsia" w:eastAsia="仿宋_GB2312"/>
          <w:sz w:val="32"/>
          <w:szCs w:val="30"/>
        </w:rPr>
        <w:t>了维护公共安全和社会稳定，加强对建筑市场严重违法行为的处理，</w:t>
      </w:r>
      <w:r>
        <w:rPr>
          <w:rFonts w:ascii="仿宋_GB2312" w:hAnsi="仿宋_GB2312" w:cs="仿宋_GB2312" w:eastAsia="仿宋_GB2312"/>
          <w:sz w:val="32"/>
          <w:szCs w:val="30"/>
        </w:rPr>
        <w:t>根据</w:t>
      </w:r>
      <w:r>
        <w:rPr>
          <w:rFonts w:ascii="仿宋_GB2312" w:hAnsi="仿宋_GB2312" w:cs="仿宋_GB2312" w:hint="eastAsia" w:eastAsia="仿宋_GB2312"/>
          <w:sz w:val="32"/>
          <w:szCs w:val="30"/>
        </w:rPr>
        <w:t>有关</w:t>
      </w:r>
      <w:r>
        <w:rPr>
          <w:rFonts w:ascii="仿宋_GB2312" w:hAnsi="仿宋_GB2312" w:cs="仿宋_GB2312" w:eastAsia="仿宋_GB2312"/>
          <w:sz w:val="32"/>
          <w:szCs w:val="30"/>
        </w:rPr>
        <w:t>法律</w:t>
      </w:r>
      <w:r>
        <w:rPr>
          <w:rFonts w:ascii="仿宋_GB2312" w:hAnsi="仿宋_GB2312" w:cs="仿宋_GB2312" w:hint="eastAsia" w:eastAsia="仿宋_GB2312"/>
          <w:sz w:val="32"/>
          <w:szCs w:val="30"/>
        </w:rPr>
        <w:t>、</w:t>
      </w:r>
      <w:r>
        <w:rPr>
          <w:rFonts w:ascii="仿宋_GB2312" w:hAnsi="仿宋_GB2312" w:cs="仿宋_GB2312" w:eastAsia="仿宋_GB2312"/>
          <w:sz w:val="32"/>
          <w:szCs w:val="30"/>
        </w:rPr>
        <w:t>法规，结合本市实际，制定本</w:t>
      </w:r>
      <w:r>
        <w:rPr>
          <w:rFonts w:ascii="仿宋_GB2312" w:hAnsi="仿宋_GB2312" w:cs="仿宋_GB2312" w:hint="eastAsia" w:eastAsia="仿宋_GB2312"/>
          <w:sz w:val="32"/>
          <w:szCs w:val="30"/>
        </w:rPr>
        <w:t>规定</w:t>
      </w:r>
      <w:r>
        <w:rPr>
          <w:rFonts w:ascii="仿宋_GB2312" w:hAnsi="仿宋_GB2312" w:cs="仿宋_GB2312"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eastAsia="黑体"/>
          <w:sz w:val="32"/>
          <w:szCs w:val="30"/>
        </w:rPr>
        <w:t>第</w:t>
      </w:r>
      <w:r>
        <w:rPr>
          <w:rFonts w:ascii="黑体" w:hAnsi="黑体" w:cs="仿宋_GB2312" w:hint="eastAsia" w:eastAsia="黑体"/>
          <w:sz w:val="32"/>
          <w:szCs w:val="30"/>
        </w:rPr>
        <w:t>二</w:t>
      </w:r>
      <w:r>
        <w:rPr>
          <w:rFonts w:ascii="黑体" w:hAnsi="黑体" w:cs="仿宋_GB2312" w:eastAsia="黑体"/>
          <w:sz w:val="32"/>
          <w:szCs w:val="30"/>
        </w:rPr>
        <w:t>条</w:t>
      </w:r>
      <w:r>
        <w:rPr>
          <w:rFonts w:ascii="仿宋_GB2312" w:hAnsi="仿宋_GB2312" w:cs="仿宋_GB2312" w:eastAsia="仿宋_GB2312"/>
          <w:b/>
          <w:bCs/>
          <w:sz w:val="32"/>
          <w:szCs w:val="30"/>
        </w:rPr>
        <w:t xml:space="preserve"> </w:t>
      </w:r>
      <w:r>
        <w:rPr>
          <w:rFonts w:ascii="仿宋_GB2312" w:hAnsi="仿宋_GB2312" w:cs="仿宋_GB2312" w:hint="eastAsia" w:eastAsia="仿宋_GB2312"/>
          <w:b/>
          <w:bCs/>
          <w:sz w:val="32"/>
          <w:szCs w:val="30"/>
        </w:rPr>
        <w:t xml:space="preserve"> </w:t>
      </w:r>
      <w:r>
        <w:rPr>
          <w:rFonts w:ascii="仿宋_GB2312" w:hAnsi="仿宋_GB2312" w:cs="仿宋_GB2312" w:hint="eastAsia" w:eastAsia="仿宋_GB2312"/>
          <w:bCs/>
          <w:sz w:val="32"/>
          <w:szCs w:val="30"/>
        </w:rPr>
        <w:t>本规定所称</w:t>
      </w:r>
      <w:r>
        <w:rPr>
          <w:rFonts w:ascii="仿宋_GB2312" w:hAnsi="仿宋_GB2312" w:cs="仿宋_GB2312" w:hint="eastAsia" w:eastAsia="仿宋_GB2312"/>
          <w:sz w:val="32"/>
          <w:szCs w:val="30"/>
        </w:rPr>
        <w:t>建筑市场严重违法行为包括：</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（一）违反安全生产、工程质量管理规定，导致事故发生，或者存在事故隐患拒不整改的；</w:t>
      </w:r>
    </w:p>
    <w:p>
      <w:pPr>
        <w:pStyle w:val="Normal"/>
        <w:spacing w:lineRule="exact" w:line="540"/>
        <w:ind w:firstLine="640" w:end="0"/>
        <w:rPr>
          <w:rFonts w:ascii="仿宋_GB2312" w:hAnsi="仿宋_GB2312" w:eastAsia="仿宋_GB2312" w:cs="仿宋_GB2312" w:hint="eastAsia"/>
          <w:i/>
          <w:sz w:val="32"/>
          <w:szCs w:val="30"/>
          <w:u w:val="single"/>
        </w:rPr>
      </w:pPr>
      <w:r>
        <w:rPr>
          <w:rFonts w:ascii="仿宋_GB2312" w:hAnsi="仿宋_GB2312" w:cs="仿宋_GB2312" w:hint="eastAsia" w:eastAsia="仿宋_GB2312"/>
          <w:sz w:val="32"/>
          <w:szCs w:val="30"/>
        </w:rPr>
        <w:t>（二）违反工程招标投标管理规定，串通投标的；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（三）</w:t>
      </w:r>
      <w:r>
        <w:rPr>
          <w:rFonts w:ascii="仿宋_GB2312" w:hAnsi="仿宋_GB2312" w:cs="仿宋_GB2312" w:eastAsia="仿宋_GB2312"/>
          <w:sz w:val="32"/>
          <w:szCs w:val="30"/>
        </w:rPr>
        <w:t>拖欠</w:t>
      </w:r>
      <w:r>
        <w:rPr>
          <w:rFonts w:ascii="仿宋_GB2312" w:hAnsi="仿宋_GB2312" w:cs="仿宋_GB2312" w:hint="eastAsia" w:eastAsia="仿宋_GB2312"/>
          <w:sz w:val="32"/>
          <w:szCs w:val="30"/>
        </w:rPr>
        <w:t>劳务工</w:t>
      </w:r>
      <w:r>
        <w:rPr>
          <w:rFonts w:ascii="仿宋_GB2312" w:hAnsi="仿宋_GB2312" w:cs="仿宋_GB2312" w:eastAsia="仿宋_GB2312"/>
          <w:sz w:val="32"/>
          <w:szCs w:val="30"/>
        </w:rPr>
        <w:t>工资，情节严重的</w:t>
      </w:r>
      <w:r>
        <w:rPr>
          <w:rFonts w:ascii="仿宋_GB2312" w:hAnsi="仿宋_GB2312" w:cs="仿宋_GB2312" w:hint="eastAsia"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第三条</w:t>
      </w:r>
      <w:r>
        <w:rPr>
          <w:rFonts w:ascii="仿宋_GB2312" w:hAnsi="仿宋_GB2312" w:cs="仿宋_GB2312" w:hint="eastAsia" w:eastAsia="仿宋_GB2312"/>
          <w:sz w:val="32"/>
          <w:szCs w:val="30"/>
        </w:rPr>
        <w:t xml:space="preserve">  施工单位</w:t>
      </w:r>
      <w:r>
        <w:rPr>
          <w:rFonts w:ascii="仿宋_GB2312" w:hAnsi="仿宋_GB2312" w:cs="仿宋_GB2312" w:eastAsia="仿宋_GB2312"/>
          <w:sz w:val="32"/>
          <w:szCs w:val="30"/>
        </w:rPr>
        <w:t>违反安全生产、工程质量管理规定，</w:t>
      </w:r>
      <w:r>
        <w:rPr>
          <w:rFonts w:ascii="仿宋_GB2312" w:hAnsi="仿宋_GB2312" w:cs="仿宋_GB2312" w:hint="eastAsia" w:eastAsia="仿宋_GB2312"/>
          <w:sz w:val="32"/>
          <w:szCs w:val="30"/>
        </w:rPr>
        <w:t>导致</w:t>
      </w:r>
      <w:r>
        <w:rPr>
          <w:rFonts w:ascii="仿宋_GB2312" w:hAnsi="仿宋_GB2312" w:cs="仿宋_GB2312" w:eastAsia="仿宋_GB2312"/>
          <w:sz w:val="32"/>
          <w:szCs w:val="30"/>
        </w:rPr>
        <w:t>事故发生</w:t>
      </w:r>
      <w:r>
        <w:rPr>
          <w:rFonts w:ascii="仿宋_GB2312" w:hAnsi="仿宋_GB2312" w:cs="仿宋_GB2312" w:hint="eastAsia" w:eastAsia="仿宋_GB2312"/>
          <w:sz w:val="32"/>
          <w:szCs w:val="30"/>
        </w:rPr>
        <w:t>的</w:t>
      </w:r>
      <w:r>
        <w:rPr>
          <w:rFonts w:ascii="仿宋_GB2312" w:hAnsi="仿宋_GB2312" w:cs="仿宋_GB2312" w:eastAsia="仿宋_GB2312"/>
          <w:sz w:val="32"/>
          <w:szCs w:val="30"/>
        </w:rPr>
        <w:t>，由</w:t>
      </w:r>
      <w:r>
        <w:rPr>
          <w:rFonts w:ascii="仿宋_GB2312" w:hAnsi="仿宋_GB2312" w:cs="仿宋_GB2312" w:hint="eastAsia" w:eastAsia="仿宋_GB2312"/>
          <w:sz w:val="32"/>
          <w:szCs w:val="30"/>
        </w:rPr>
        <w:t>市住房</w:t>
      </w:r>
      <w:r>
        <w:rPr>
          <w:rFonts w:ascii="仿宋_GB2312" w:hAnsi="仿宋_GB2312" w:cs="仿宋_GB2312" w:eastAsia="仿宋_GB2312"/>
          <w:sz w:val="32"/>
          <w:szCs w:val="30"/>
        </w:rPr>
        <w:t>建设部门</w:t>
      </w:r>
      <w:r>
        <w:rPr>
          <w:rFonts w:ascii="仿宋_GB2312" w:hAnsi="仿宋_GB2312" w:cs="仿宋_GB2312" w:hint="eastAsia" w:eastAsia="仿宋_GB2312"/>
          <w:sz w:val="32"/>
          <w:szCs w:val="30"/>
        </w:rPr>
        <w:t>按照下列规定暂扣其资质证书：</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（一）</w:t>
      </w:r>
      <w:r>
        <w:rPr>
          <w:rFonts w:ascii="仿宋_GB2312" w:hAnsi="仿宋_GB2312" w:cs="仿宋_GB2312" w:hint="eastAsia" w:eastAsia="仿宋_GB2312"/>
          <w:spacing w:val="-6"/>
          <w:sz w:val="32"/>
          <w:szCs w:val="30"/>
        </w:rPr>
        <w:t>发生一般事故的，暂扣期限为一个月至三个月；</w:t>
      </w:r>
    </w:p>
    <w:p>
      <w:pPr>
        <w:pStyle w:val="BodyTextIndent"/>
        <w:spacing w:lineRule="exact" w:line="540"/>
        <w:rPr>
          <w:rFonts w:hint="eastAsia"/>
        </w:rPr>
      </w:pPr>
      <w:r>
        <w:rPr>
          <w:rFonts w:hint="eastAsia"/>
        </w:rPr>
        <w:t>（二）发生较大事故的，暂扣期限为四个月至六个月；</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（三）发</w:t>
      </w:r>
      <w:r>
        <w:rPr>
          <w:rFonts w:ascii="仿宋_GB2312" w:hAnsi="仿宋_GB2312" w:cs="仿宋_GB2312" w:hint="eastAsia" w:eastAsia="仿宋_GB2312"/>
          <w:spacing w:val="-6"/>
          <w:sz w:val="32"/>
          <w:szCs w:val="30"/>
        </w:rPr>
        <w:t>生重大事故或者特别重大事故的，暂扣期限为七个月至十二个月</w:t>
      </w:r>
      <w:r>
        <w:rPr>
          <w:rFonts w:ascii="仿宋_GB2312" w:hAnsi="仿宋_GB2312" w:cs="仿宋_GB2312" w:hint="eastAsia"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对负有事故责任的有关人员，由市住房建设部门及有关部门按照前款规定的期限依法暂扣其与安全生产相关的执业资格证书、岗位证书。</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eastAsia="黑体"/>
          <w:sz w:val="32"/>
          <w:szCs w:val="30"/>
        </w:rPr>
        <w:t>第</w:t>
      </w:r>
      <w:r>
        <w:rPr>
          <w:rFonts w:ascii="黑体" w:hAnsi="黑体" w:cs="仿宋_GB2312" w:hint="eastAsia" w:eastAsia="黑体"/>
          <w:sz w:val="32"/>
          <w:szCs w:val="30"/>
        </w:rPr>
        <w:t>四</w:t>
      </w:r>
      <w:r>
        <w:rPr>
          <w:rFonts w:ascii="黑体" w:hAnsi="黑体" w:cs="仿宋_GB2312" w:eastAsia="黑体"/>
          <w:sz w:val="32"/>
          <w:szCs w:val="30"/>
        </w:rPr>
        <w:t>条</w:t>
      </w:r>
      <w:r>
        <w:rPr>
          <w:rFonts w:ascii="仿宋_GB2312" w:hAnsi="仿宋_GB2312" w:cs="仿宋_GB2312" w:eastAsia="仿宋_GB2312"/>
          <w:sz w:val="32"/>
          <w:szCs w:val="30"/>
        </w:rPr>
        <w:t xml:space="preserve"> </w:t>
      </w:r>
      <w:r>
        <w:rPr>
          <w:rFonts w:ascii="仿宋_GB2312" w:hAnsi="仿宋_GB2312" w:cs="仿宋_GB2312" w:hint="eastAsia" w:eastAsia="仿宋_GB2312"/>
          <w:b/>
          <w:sz w:val="32"/>
          <w:szCs w:val="30"/>
        </w:rPr>
        <w:t xml:space="preserve"> </w:t>
      </w:r>
      <w:r>
        <w:rPr>
          <w:rFonts w:ascii="仿宋_GB2312" w:hAnsi="仿宋_GB2312" w:cs="仿宋_GB2312" w:hint="eastAsia" w:eastAsia="仿宋_GB2312"/>
          <w:sz w:val="32"/>
          <w:szCs w:val="30"/>
        </w:rPr>
        <w:t>工程勘察、设计、监理、检测等单位对事故发生负有责任的，由市住房建设部门按照下列规定暂扣其资质证书：</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eastAsia="仿宋_GB2312"/>
          <w:sz w:val="32"/>
          <w:szCs w:val="30"/>
        </w:rPr>
        <w:t>（一）</w:t>
      </w:r>
      <w:r>
        <w:rPr>
          <w:rFonts w:ascii="仿宋_GB2312" w:hAnsi="仿宋_GB2312" w:cs="仿宋_GB2312" w:eastAsia="仿宋_GB2312"/>
          <w:spacing w:val="-6"/>
          <w:sz w:val="32"/>
          <w:szCs w:val="30"/>
        </w:rPr>
        <w:t>发生</w:t>
      </w:r>
      <w:r>
        <w:rPr>
          <w:rFonts w:ascii="仿宋_GB2312" w:hAnsi="仿宋_GB2312" w:cs="仿宋_GB2312" w:hint="eastAsia" w:eastAsia="仿宋_GB2312"/>
          <w:spacing w:val="-6"/>
          <w:sz w:val="32"/>
          <w:szCs w:val="30"/>
        </w:rPr>
        <w:t>一般</w:t>
      </w:r>
      <w:r>
        <w:rPr>
          <w:rFonts w:ascii="仿宋_GB2312" w:hAnsi="仿宋_GB2312" w:cs="仿宋_GB2312" w:eastAsia="仿宋_GB2312"/>
          <w:spacing w:val="-6"/>
          <w:sz w:val="32"/>
          <w:szCs w:val="30"/>
        </w:rPr>
        <w:t>事故的</w:t>
      </w:r>
      <w:r>
        <w:rPr>
          <w:rFonts w:ascii="仿宋_GB2312" w:hAnsi="仿宋_GB2312" w:cs="仿宋_GB2312" w:hint="eastAsia" w:eastAsia="仿宋_GB2312"/>
          <w:spacing w:val="-6"/>
          <w:sz w:val="32"/>
          <w:szCs w:val="30"/>
        </w:rPr>
        <w:t>，暂扣期限为一个月至二个月；</w:t>
      </w:r>
      <w:r>
        <w:rPr>
          <w:rFonts w:ascii="仿宋_GB2312" w:hAnsi="仿宋_GB2312" w:cs="仿宋_GB2312" w:hint="eastAsia" w:eastAsia="仿宋_GB2312"/>
          <w:sz w:val="32"/>
          <w:szCs w:val="30"/>
        </w:rPr>
        <w:t xml:space="preserve"> </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（二）</w:t>
      </w:r>
      <w:r>
        <w:rPr>
          <w:rFonts w:ascii="仿宋_GB2312" w:hAnsi="仿宋_GB2312" w:cs="仿宋_GB2312" w:hint="eastAsia" w:eastAsia="仿宋_GB2312"/>
          <w:spacing w:val="-6"/>
          <w:sz w:val="32"/>
          <w:szCs w:val="30"/>
        </w:rPr>
        <w:t>发生较大事故的，暂扣期限为三个月至四个月；</w:t>
      </w:r>
    </w:p>
    <w:p>
      <w:pPr>
        <w:pStyle w:val="BodyTextIndent"/>
        <w:spacing w:lineRule="exact" w:line="540"/>
        <w:rPr>
          <w:rFonts w:hint="eastAsia"/>
        </w:rPr>
      </w:pPr>
      <w:r>
        <w:rPr>
          <w:rFonts w:hint="eastAsia"/>
        </w:rPr>
        <w:t>（三）发生重大事故或者特别重大事故的，暂扣期限为五个月至六个月。</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对负有事故责任的有关人员，由市住房建设部门及有关部门按照前款规定的期限依法暂扣其与安全生产相关的执业资格证书、岗位证书。</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第五条</w:t>
      </w:r>
      <w:r>
        <w:rPr>
          <w:rFonts w:ascii="仿宋_GB2312" w:hAnsi="仿宋_GB2312" w:cs="仿宋_GB2312" w:hint="eastAsia" w:eastAsia="仿宋_GB2312"/>
          <w:sz w:val="32"/>
          <w:szCs w:val="30"/>
        </w:rPr>
        <w:t xml:space="preserve">  工程勘察、设计、施工、监理、检测单位违反安全生产、工程质量管理规定，存在事故隐患，经住房建设部门责令限期整改，逾期拒不整改或者整改不合格的，由市住房建设部门暂扣其资质证书，直至整改合格。</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第六条</w:t>
      </w:r>
      <w:r>
        <w:rPr>
          <w:rFonts w:ascii="仿宋_GB2312" w:hAnsi="仿宋_GB2312" w:cs="仿宋_GB2312" w:hint="eastAsia" w:eastAsia="仿宋_GB2312"/>
          <w:b/>
          <w:bCs/>
          <w:sz w:val="32"/>
          <w:szCs w:val="30"/>
        </w:rPr>
        <w:t xml:space="preserve"> </w:t>
      </w:r>
      <w:r>
        <w:rPr>
          <w:rFonts w:ascii="仿宋_GB2312" w:hAnsi="仿宋_GB2312" w:cs="仿宋_GB2312" w:hint="eastAsia" w:eastAsia="仿宋_GB2312"/>
          <w:sz w:val="32"/>
          <w:szCs w:val="30"/>
        </w:rPr>
        <w:t xml:space="preserve">工程建设项目投标人有下列情形之一的，按照串通投标处理，由住房建设部门依法给予处罚： </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（一）不同投标人投标文件内容存在非正常一致的；</w:t>
      </w:r>
    </w:p>
    <w:p>
      <w:pPr>
        <w:pStyle w:val="Normal"/>
        <w:spacing w:lineRule="exact" w:line="540"/>
        <w:ind w:firstLine="640" w:end="0"/>
        <w:rPr>
          <w:rFonts w:ascii="仿宋_GB2312" w:hAnsi="仿宋_GB2312" w:eastAsia="仿宋_GB2312" w:cs="仿宋_GB2312"/>
          <w:sz w:val="32"/>
          <w:szCs w:val="30"/>
        </w:rPr>
      </w:pPr>
      <w:r>
        <w:rPr>
          <w:rFonts w:ascii="仿宋_GB2312" w:hAnsi="仿宋_GB2312" w:cs="仿宋_GB2312" w:hint="eastAsia" w:eastAsia="仿宋_GB2312"/>
          <w:sz w:val="32"/>
          <w:szCs w:val="30"/>
        </w:rPr>
        <w:t>（二）不同投标人的投标报价或者报价组</w:t>
      </w:r>
      <w:r>
        <w:rPr>
          <w:rFonts w:ascii="仿宋_GB2312" w:hAnsi="仿宋_GB2312" w:cs="仿宋_GB2312" w:eastAsia="仿宋_GB2312"/>
          <w:sz w:val="32"/>
          <w:szCs w:val="30"/>
        </w:rPr>
        <w:t>成</w:t>
      </w:r>
      <w:r>
        <w:rPr>
          <w:rFonts w:ascii="仿宋_GB2312" w:hAnsi="仿宋_GB2312" w:cs="仿宋_GB2312" w:hint="eastAsia" w:eastAsia="仿宋_GB2312"/>
          <w:sz w:val="32"/>
          <w:szCs w:val="30"/>
        </w:rPr>
        <w:t>存在非正</w:t>
      </w:r>
      <w:r>
        <w:rPr>
          <w:rFonts w:ascii="仿宋_GB2312" w:hAnsi="仿宋_GB2312" w:cs="仿宋_GB2312" w:eastAsia="仿宋_GB2312"/>
          <w:sz w:val="32"/>
          <w:szCs w:val="30"/>
        </w:rPr>
        <w:t>常一致</w:t>
      </w:r>
      <w:r>
        <w:rPr>
          <w:rFonts w:ascii="仿宋_GB2312" w:hAnsi="仿宋_GB2312" w:cs="仿宋_GB2312" w:hint="eastAsia" w:eastAsia="仿宋_GB2312"/>
          <w:sz w:val="32"/>
          <w:szCs w:val="30"/>
        </w:rPr>
        <w:t>或者呈规律性变化的</w:t>
      </w:r>
      <w:r>
        <w:rPr>
          <w:rFonts w:ascii="仿宋_GB2312" w:hAnsi="仿宋_GB2312" w:cs="仿宋_GB2312" w:eastAsia="仿宋_GB2312"/>
          <w:sz w:val="32"/>
          <w:szCs w:val="30"/>
        </w:rPr>
        <w:t>；</w:t>
      </w:r>
    </w:p>
    <w:p>
      <w:pPr>
        <w:pStyle w:val="Normal"/>
        <w:spacing w:lineRule="exact" w:line="540"/>
        <w:ind w:firstLine="640" w:end="0"/>
        <w:rPr>
          <w:rFonts w:ascii="仿宋_GB2312" w:hAnsi="仿宋_GB2312" w:eastAsia="仿宋_GB2312" w:cs="仿宋_GB2312"/>
          <w:sz w:val="32"/>
          <w:szCs w:val="30"/>
        </w:rPr>
      </w:pPr>
      <w:r>
        <w:rPr>
          <w:rFonts w:ascii="仿宋_GB2312" w:hAnsi="仿宋_GB2312" w:cs="仿宋_GB2312" w:eastAsia="仿宋_GB2312"/>
          <w:sz w:val="32"/>
          <w:szCs w:val="30"/>
        </w:rPr>
        <w:t>（</w:t>
      </w:r>
      <w:r>
        <w:rPr>
          <w:rFonts w:ascii="仿宋_GB2312" w:hAnsi="仿宋_GB2312" w:cs="仿宋_GB2312" w:hint="eastAsia" w:eastAsia="仿宋_GB2312"/>
          <w:sz w:val="32"/>
          <w:szCs w:val="30"/>
        </w:rPr>
        <w:t>三</w:t>
      </w:r>
      <w:r>
        <w:rPr>
          <w:rFonts w:ascii="仿宋_GB2312" w:hAnsi="仿宋_GB2312" w:cs="仿宋_GB2312" w:eastAsia="仿宋_GB2312"/>
          <w:sz w:val="32"/>
          <w:szCs w:val="30"/>
        </w:rPr>
        <w:t>）不同投标人的投标文件由同一单位或者同一人编制</w:t>
      </w:r>
      <w:r>
        <w:rPr>
          <w:rFonts w:ascii="仿宋_GB2312" w:hAnsi="仿宋_GB2312" w:cs="仿宋_GB2312" w:hint="eastAsia" w:eastAsia="仿宋_GB2312"/>
          <w:sz w:val="32"/>
          <w:szCs w:val="30"/>
        </w:rPr>
        <w:t>或者提供咨询服务并对投标文件形成具有实质性影响</w:t>
      </w:r>
      <w:r>
        <w:rPr>
          <w:rFonts w:ascii="仿宋_GB2312" w:hAnsi="仿宋_GB2312" w:cs="仿宋_GB2312" w:eastAsia="仿宋_GB2312"/>
          <w:sz w:val="32"/>
          <w:szCs w:val="30"/>
        </w:rPr>
        <w:t>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eastAsia="仿宋_GB2312"/>
          <w:sz w:val="32"/>
          <w:szCs w:val="30"/>
        </w:rPr>
        <w:t>（</w:t>
      </w:r>
      <w:r>
        <w:rPr>
          <w:rFonts w:ascii="仿宋_GB2312" w:hAnsi="仿宋_GB2312" w:cs="仿宋_GB2312" w:hint="eastAsia" w:eastAsia="仿宋_GB2312"/>
          <w:sz w:val="32"/>
          <w:szCs w:val="30"/>
        </w:rPr>
        <w:t>四</w:t>
      </w:r>
      <w:r>
        <w:rPr>
          <w:rFonts w:ascii="仿宋_GB2312" w:hAnsi="仿宋_GB2312" w:cs="仿宋_GB2312" w:eastAsia="仿宋_GB2312"/>
          <w:sz w:val="32"/>
          <w:szCs w:val="30"/>
        </w:rPr>
        <w:t>）不同投标人的投标文件载明的项目管理</w:t>
      </w:r>
      <w:r>
        <w:rPr>
          <w:rFonts w:ascii="仿宋_GB2312" w:hAnsi="仿宋_GB2312" w:cs="仿宋_GB2312" w:hint="eastAsia" w:eastAsia="仿宋_GB2312"/>
          <w:sz w:val="32"/>
          <w:szCs w:val="30"/>
        </w:rPr>
        <w:t>人员</w:t>
      </w:r>
      <w:r>
        <w:rPr>
          <w:rFonts w:ascii="仿宋_GB2312" w:hAnsi="仿宋_GB2312" w:cs="仿宋_GB2312" w:eastAsia="仿宋_GB2312"/>
          <w:sz w:val="32"/>
          <w:szCs w:val="30"/>
        </w:rPr>
        <w:t>出现同一人的；</w:t>
      </w:r>
    </w:p>
    <w:p>
      <w:pPr>
        <w:pStyle w:val="Normal"/>
        <w:spacing w:lineRule="exact" w:line="540"/>
        <w:ind w:firstLine="640" w:end="0"/>
        <w:rPr>
          <w:rFonts w:ascii="仿宋_GB2312" w:hAnsi="仿宋_GB2312" w:eastAsia="仿宋_GB2312" w:cs="仿宋_GB2312"/>
          <w:sz w:val="32"/>
          <w:szCs w:val="30"/>
        </w:rPr>
      </w:pPr>
      <w:r>
        <w:rPr>
          <w:rFonts w:ascii="仿宋_GB2312" w:hAnsi="仿宋_GB2312" w:cs="仿宋_GB2312" w:eastAsia="仿宋_GB2312"/>
          <w:sz w:val="32"/>
          <w:szCs w:val="30"/>
        </w:rPr>
        <w:t>（</w:t>
      </w:r>
      <w:r>
        <w:rPr>
          <w:rFonts w:ascii="仿宋_GB2312" w:hAnsi="仿宋_GB2312" w:cs="仿宋_GB2312" w:hint="eastAsia" w:eastAsia="仿宋_GB2312"/>
          <w:sz w:val="32"/>
          <w:szCs w:val="30"/>
        </w:rPr>
        <w:t>五</w:t>
      </w:r>
      <w:r>
        <w:rPr>
          <w:rFonts w:ascii="仿宋_GB2312" w:hAnsi="仿宋_GB2312" w:cs="仿宋_GB2312" w:eastAsia="仿宋_GB2312"/>
          <w:sz w:val="32"/>
          <w:szCs w:val="30"/>
        </w:rPr>
        <w:t>）不同投标人的投标文件相互混装的；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eastAsia="仿宋_GB2312"/>
          <w:sz w:val="32"/>
          <w:szCs w:val="30"/>
        </w:rPr>
        <w:t>（</w:t>
      </w:r>
      <w:r>
        <w:rPr>
          <w:rFonts w:ascii="仿宋_GB2312" w:hAnsi="仿宋_GB2312" w:cs="仿宋_GB2312" w:hint="eastAsia" w:eastAsia="仿宋_GB2312"/>
          <w:sz w:val="32"/>
          <w:szCs w:val="30"/>
        </w:rPr>
        <w:t>六</w:t>
      </w:r>
      <w:r>
        <w:rPr>
          <w:rFonts w:ascii="仿宋_GB2312" w:hAnsi="仿宋_GB2312" w:cs="仿宋_GB2312" w:eastAsia="仿宋_GB2312"/>
          <w:sz w:val="32"/>
          <w:szCs w:val="30"/>
        </w:rPr>
        <w:t>）</w:t>
      </w:r>
      <w:r>
        <w:rPr>
          <w:rFonts w:ascii="仿宋_GB2312" w:hAnsi="仿宋_GB2312" w:cs="仿宋_GB2312" w:hint="eastAsia" w:eastAsia="仿宋_GB2312"/>
          <w:sz w:val="32"/>
          <w:szCs w:val="30"/>
        </w:rPr>
        <w:t>不同投标人使用同一人或者同一单位的资金交纳</w:t>
      </w:r>
      <w:r>
        <w:rPr>
          <w:rFonts w:ascii="仿宋_GB2312" w:hAnsi="仿宋_GB2312" w:cs="仿宋_GB2312" w:eastAsia="仿宋_GB2312"/>
          <w:sz w:val="32"/>
          <w:szCs w:val="30"/>
        </w:rPr>
        <w:t>投标保证金或</w:t>
      </w:r>
      <w:r>
        <w:rPr>
          <w:rFonts w:ascii="仿宋_GB2312" w:hAnsi="仿宋_GB2312" w:cs="仿宋_GB2312" w:hint="eastAsia" w:eastAsia="仿宋_GB2312"/>
          <w:sz w:val="32"/>
          <w:szCs w:val="30"/>
        </w:rPr>
        <w:t>者作为</w:t>
      </w:r>
      <w:r>
        <w:rPr>
          <w:rFonts w:ascii="仿宋_GB2312" w:hAnsi="仿宋_GB2312" w:cs="仿宋_GB2312" w:eastAsia="仿宋_GB2312"/>
          <w:sz w:val="32"/>
          <w:szCs w:val="30"/>
        </w:rPr>
        <w:t>投标保函的反担保</w:t>
      </w:r>
      <w:r>
        <w:rPr>
          <w:rFonts w:ascii="仿宋_GB2312" w:hAnsi="仿宋_GB2312" w:cs="仿宋_GB2312" w:hint="eastAsia" w:eastAsia="仿宋_GB2312"/>
          <w:sz w:val="32"/>
          <w:szCs w:val="30"/>
        </w:rPr>
        <w:t>的；</w:t>
      </w:r>
    </w:p>
    <w:p>
      <w:pPr>
        <w:pStyle w:val="Normal"/>
        <w:spacing w:lineRule="exact" w:line="540"/>
        <w:ind w:firstLine="640" w:end="0"/>
        <w:rPr>
          <w:rFonts w:ascii="仿宋_GB2312" w:hAnsi="仿宋_GB2312" w:eastAsia="仿宋_GB2312" w:cs="仿宋_GB2312"/>
          <w:sz w:val="32"/>
          <w:szCs w:val="30"/>
        </w:rPr>
      </w:pPr>
      <w:r>
        <w:rPr>
          <w:rFonts w:ascii="仿宋_GB2312" w:hAnsi="仿宋_GB2312" w:cs="仿宋_GB2312" w:eastAsia="仿宋_GB2312"/>
          <w:sz w:val="32"/>
          <w:szCs w:val="30"/>
        </w:rPr>
        <w:t>（七）不同投标人的投标文件由同一台电脑编制或</w:t>
      </w:r>
      <w:r>
        <w:rPr>
          <w:rFonts w:ascii="仿宋_GB2312" w:hAnsi="仿宋_GB2312" w:cs="仿宋_GB2312" w:hint="eastAsia" w:eastAsia="仿宋_GB2312"/>
          <w:sz w:val="32"/>
          <w:szCs w:val="30"/>
        </w:rPr>
        <w:t>者</w:t>
      </w:r>
      <w:r>
        <w:rPr>
          <w:rFonts w:ascii="仿宋_GB2312" w:hAnsi="仿宋_GB2312" w:cs="仿宋_GB2312" w:eastAsia="仿宋_GB2312"/>
          <w:sz w:val="32"/>
          <w:szCs w:val="30"/>
        </w:rPr>
        <w:t>同一台附属设备打印的；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eastAsia="仿宋_GB2312"/>
          <w:sz w:val="32"/>
          <w:szCs w:val="30"/>
        </w:rPr>
        <w:t>（八）不同投标人委托同一人</w:t>
      </w:r>
      <w:r>
        <w:rPr>
          <w:rFonts w:ascii="仿宋_GB2312" w:hAnsi="仿宋_GB2312" w:cs="仿宋_GB2312" w:hint="eastAsia" w:eastAsia="仿宋_GB2312"/>
          <w:sz w:val="32"/>
          <w:szCs w:val="30"/>
        </w:rPr>
        <w:t>办理</w:t>
      </w:r>
      <w:r>
        <w:rPr>
          <w:rFonts w:ascii="仿宋_GB2312" w:hAnsi="仿宋_GB2312" w:cs="仿宋_GB2312" w:eastAsia="仿宋_GB2312"/>
          <w:sz w:val="32"/>
          <w:szCs w:val="30"/>
        </w:rPr>
        <w:t>投标</w:t>
      </w:r>
      <w:r>
        <w:rPr>
          <w:rFonts w:ascii="仿宋_GB2312" w:hAnsi="仿宋_GB2312" w:cs="仿宋_GB2312" w:hint="eastAsia" w:eastAsia="仿宋_GB2312"/>
          <w:sz w:val="32"/>
          <w:szCs w:val="30"/>
        </w:rPr>
        <w:t>事务</w:t>
      </w:r>
      <w:r>
        <w:rPr>
          <w:rFonts w:ascii="仿宋_GB2312" w:hAnsi="仿宋_GB2312" w:cs="仿宋_GB2312" w:eastAsia="仿宋_GB2312"/>
          <w:sz w:val="32"/>
          <w:szCs w:val="30"/>
        </w:rPr>
        <w:t>的</w:t>
      </w:r>
      <w:r>
        <w:rPr>
          <w:rFonts w:ascii="仿宋_GB2312" w:hAnsi="仿宋_GB2312" w:cs="仿宋_GB2312" w:hint="eastAsia"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（九</w:t>
      </w:r>
      <w:r>
        <w:rPr>
          <w:rFonts w:ascii="仿宋_GB2312" w:hAnsi="仿宋_GB2312" w:cs="仿宋_GB2312" w:eastAsia="仿宋_GB2312"/>
          <w:sz w:val="32"/>
          <w:szCs w:val="30"/>
        </w:rPr>
        <w:t>）</w:t>
      </w:r>
      <w:r>
        <w:rPr>
          <w:rFonts w:ascii="仿宋_GB2312" w:hAnsi="仿宋_GB2312" w:cs="仿宋_GB2312" w:hint="eastAsia" w:eastAsia="仿宋_GB2312"/>
          <w:sz w:val="32"/>
          <w:szCs w:val="30"/>
        </w:rPr>
        <w:t>住房建设部门依法认定的其他串通投标行为。</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第七条</w:t>
      </w:r>
      <w:r>
        <w:rPr>
          <w:rFonts w:ascii="仿宋_GB2312" w:hAnsi="仿宋_GB2312" w:cs="仿宋_GB2312" w:eastAsia="仿宋_GB2312"/>
          <w:sz w:val="32"/>
          <w:szCs w:val="30"/>
        </w:rPr>
        <w:t xml:space="preserve">  </w:t>
      </w:r>
      <w:r>
        <w:rPr>
          <w:rFonts w:ascii="仿宋_GB2312" w:hAnsi="仿宋_GB2312" w:cs="仿宋_GB2312" w:hint="eastAsia" w:eastAsia="仿宋_GB2312"/>
          <w:sz w:val="32"/>
          <w:szCs w:val="30"/>
        </w:rPr>
        <w:t>施工单位</w:t>
      </w:r>
      <w:r>
        <w:rPr>
          <w:rFonts w:ascii="仿宋_GB2312" w:hAnsi="仿宋_GB2312" w:cs="仿宋_GB2312" w:eastAsia="仿宋_GB2312"/>
          <w:sz w:val="32"/>
          <w:szCs w:val="30"/>
        </w:rPr>
        <w:t>有下列情形之一，经</w:t>
      </w:r>
      <w:r>
        <w:rPr>
          <w:rFonts w:ascii="仿宋_GB2312" w:hAnsi="仿宋_GB2312" w:cs="仿宋_GB2312" w:hint="eastAsia" w:eastAsia="仿宋_GB2312"/>
          <w:sz w:val="32"/>
          <w:szCs w:val="30"/>
        </w:rPr>
        <w:t>有关部门查实认定，并</w:t>
      </w:r>
      <w:r>
        <w:rPr>
          <w:rFonts w:ascii="仿宋_GB2312" w:hAnsi="仿宋_GB2312" w:cs="仿宋_GB2312" w:eastAsia="仿宋_GB2312"/>
          <w:sz w:val="32"/>
          <w:szCs w:val="30"/>
        </w:rPr>
        <w:t>催告</w:t>
      </w:r>
      <w:r>
        <w:rPr>
          <w:rFonts w:ascii="仿宋_GB2312" w:hAnsi="仿宋_GB2312" w:cs="仿宋_GB2312" w:hint="eastAsia" w:eastAsia="仿宋_GB2312"/>
          <w:sz w:val="32"/>
          <w:szCs w:val="30"/>
        </w:rPr>
        <w:t>后，</w:t>
      </w:r>
      <w:r>
        <w:rPr>
          <w:rFonts w:ascii="仿宋_GB2312" w:hAnsi="仿宋_GB2312" w:cs="仿宋_GB2312" w:eastAsia="仿宋_GB2312"/>
          <w:sz w:val="32"/>
          <w:szCs w:val="30"/>
        </w:rPr>
        <w:t>仍不</w:t>
      </w:r>
      <w:r>
        <w:rPr>
          <w:rFonts w:ascii="仿宋_GB2312" w:hAnsi="仿宋_GB2312" w:cs="仿宋_GB2312" w:hint="eastAsia" w:eastAsia="仿宋_GB2312"/>
          <w:sz w:val="32"/>
          <w:szCs w:val="30"/>
        </w:rPr>
        <w:t>付清劳务工工资</w:t>
      </w:r>
      <w:r>
        <w:rPr>
          <w:rFonts w:ascii="仿宋_GB2312" w:hAnsi="仿宋_GB2312" w:cs="仿宋_GB2312" w:eastAsia="仿宋_GB2312"/>
          <w:sz w:val="32"/>
          <w:szCs w:val="30"/>
        </w:rPr>
        <w:t>的，</w:t>
      </w:r>
      <w:r>
        <w:rPr>
          <w:rFonts w:ascii="仿宋_GB2312" w:hAnsi="仿宋_GB2312" w:cs="仿宋_GB2312" w:hint="eastAsia" w:eastAsia="仿宋_GB2312"/>
          <w:sz w:val="32"/>
          <w:szCs w:val="30"/>
        </w:rPr>
        <w:t>由市住房建设部门暂扣其资质证书直至付清工资：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（一）拖欠工资三个月以上的；</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（二）</w:t>
      </w:r>
      <w:r>
        <w:rPr>
          <w:rFonts w:ascii="仿宋_GB2312" w:hAnsi="仿宋_GB2312" w:cs="仿宋_GB2312" w:eastAsia="仿宋_GB2312"/>
          <w:sz w:val="32"/>
          <w:szCs w:val="30"/>
        </w:rPr>
        <w:t>拖欠工资数额</w:t>
      </w:r>
      <w:r>
        <w:rPr>
          <w:rFonts w:ascii="仿宋_GB2312" w:hAnsi="仿宋_GB2312" w:cs="仿宋_GB2312" w:hint="eastAsia" w:eastAsia="仿宋_GB2312"/>
          <w:sz w:val="32"/>
          <w:szCs w:val="30"/>
        </w:rPr>
        <w:t>五</w:t>
      </w:r>
      <w:r>
        <w:rPr>
          <w:rFonts w:ascii="仿宋_GB2312" w:hAnsi="仿宋_GB2312" w:cs="仿宋_GB2312" w:eastAsia="仿宋_GB2312"/>
          <w:sz w:val="32"/>
          <w:szCs w:val="30"/>
        </w:rPr>
        <w:t>万元</w:t>
      </w:r>
      <w:r>
        <w:rPr>
          <w:rFonts w:ascii="仿宋_GB2312" w:hAnsi="仿宋_GB2312" w:cs="仿宋_GB2312" w:hint="eastAsia" w:eastAsia="仿宋_GB2312"/>
          <w:sz w:val="32"/>
          <w:szCs w:val="30"/>
        </w:rPr>
        <w:t>以上</w:t>
      </w:r>
      <w:r>
        <w:rPr>
          <w:rFonts w:ascii="仿宋_GB2312" w:hAnsi="仿宋_GB2312" w:cs="仿宋_GB2312" w:eastAsia="仿宋_GB2312"/>
          <w:sz w:val="32"/>
          <w:szCs w:val="30"/>
        </w:rPr>
        <w:t>的</w:t>
      </w:r>
      <w:r>
        <w:rPr>
          <w:rFonts w:ascii="仿宋_GB2312" w:hAnsi="仿宋_GB2312" w:cs="仿宋_GB2312" w:hint="eastAsia"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仿宋_GB2312" w:hAnsi="仿宋_GB2312" w:cs="仿宋_GB2312" w:hint="eastAsia" w:eastAsia="仿宋_GB2312"/>
          <w:sz w:val="32"/>
          <w:szCs w:val="30"/>
        </w:rPr>
        <w:t>（三）拖欠工资人数达十人以上的。</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第八条</w:t>
      </w:r>
      <w:r>
        <w:rPr>
          <w:rFonts w:ascii="仿宋_GB2312" w:hAnsi="仿宋_GB2312" w:cs="仿宋_GB2312" w:eastAsia="仿宋_GB2312"/>
          <w:sz w:val="32"/>
          <w:szCs w:val="30"/>
        </w:rPr>
        <w:t xml:space="preserve">  </w:t>
      </w:r>
      <w:r>
        <w:rPr>
          <w:rFonts w:ascii="仿宋_GB2312" w:hAnsi="仿宋_GB2312" w:cs="仿宋_GB2312" w:hint="eastAsia" w:eastAsia="仿宋_GB2312"/>
          <w:sz w:val="32"/>
          <w:szCs w:val="30"/>
        </w:rPr>
        <w:t>在</w:t>
      </w:r>
      <w:r>
        <w:rPr>
          <w:rFonts w:ascii="仿宋_GB2312" w:hAnsi="仿宋_GB2312" w:cs="仿宋_GB2312" w:eastAsia="仿宋_GB2312"/>
          <w:sz w:val="32"/>
          <w:szCs w:val="30"/>
        </w:rPr>
        <w:t>本市承接</w:t>
      </w:r>
      <w:r>
        <w:rPr>
          <w:rFonts w:ascii="仿宋_GB2312" w:hAnsi="仿宋_GB2312" w:cs="仿宋_GB2312" w:hint="eastAsia" w:eastAsia="仿宋_GB2312"/>
          <w:sz w:val="32"/>
          <w:szCs w:val="30"/>
        </w:rPr>
        <w:t>建设</w:t>
      </w:r>
      <w:r>
        <w:rPr>
          <w:rFonts w:ascii="仿宋_GB2312" w:hAnsi="仿宋_GB2312" w:cs="仿宋_GB2312" w:eastAsia="仿宋_GB2312"/>
          <w:sz w:val="32"/>
          <w:szCs w:val="30"/>
        </w:rPr>
        <w:t>工程</w:t>
      </w:r>
      <w:r>
        <w:rPr>
          <w:rFonts w:ascii="仿宋_GB2312" w:hAnsi="仿宋_GB2312" w:cs="仿宋_GB2312" w:hint="eastAsia" w:eastAsia="仿宋_GB2312"/>
          <w:sz w:val="32"/>
          <w:szCs w:val="30"/>
        </w:rPr>
        <w:t>的勘察、设计、施工、监理、检测、造价咨询、招标代理等单位以及工程建设注册执业人员</w:t>
      </w:r>
      <w:r>
        <w:rPr>
          <w:rFonts w:ascii="仿宋_GB2312" w:hAnsi="仿宋_GB2312" w:cs="仿宋_GB2312" w:eastAsia="仿宋_GB2312"/>
          <w:sz w:val="32"/>
          <w:szCs w:val="30"/>
        </w:rPr>
        <w:t>，</w:t>
      </w:r>
      <w:r>
        <w:rPr>
          <w:rFonts w:ascii="仿宋_GB2312" w:hAnsi="仿宋_GB2312" w:cs="仿宋_GB2312" w:hint="eastAsia" w:eastAsia="仿宋_GB2312"/>
          <w:sz w:val="32"/>
          <w:szCs w:val="30"/>
        </w:rPr>
        <w:t>应当</w:t>
      </w:r>
      <w:r>
        <w:rPr>
          <w:rFonts w:ascii="仿宋_GB2312" w:hAnsi="仿宋_GB2312" w:cs="仿宋_GB2312" w:eastAsia="仿宋_GB2312"/>
          <w:sz w:val="32"/>
          <w:szCs w:val="30"/>
        </w:rPr>
        <w:t>向市</w:t>
      </w:r>
      <w:r>
        <w:rPr>
          <w:rFonts w:ascii="仿宋_GB2312" w:hAnsi="仿宋_GB2312" w:cs="仿宋_GB2312" w:hint="eastAsia" w:eastAsia="仿宋_GB2312"/>
          <w:sz w:val="32"/>
          <w:szCs w:val="30"/>
        </w:rPr>
        <w:t>住房</w:t>
      </w:r>
      <w:r>
        <w:rPr>
          <w:rFonts w:ascii="仿宋_GB2312" w:hAnsi="仿宋_GB2312" w:cs="仿宋_GB2312" w:eastAsia="仿宋_GB2312"/>
          <w:sz w:val="32"/>
          <w:szCs w:val="30"/>
        </w:rPr>
        <w:t>建设部门</w:t>
      </w:r>
      <w:r>
        <w:rPr>
          <w:rFonts w:ascii="仿宋_GB2312" w:hAnsi="仿宋_GB2312" w:cs="仿宋_GB2312" w:hint="eastAsia" w:eastAsia="仿宋_GB2312"/>
          <w:sz w:val="32"/>
          <w:szCs w:val="30"/>
        </w:rPr>
        <w:t>申报</w:t>
      </w:r>
      <w:r>
        <w:rPr>
          <w:rFonts w:ascii="仿宋_GB2312" w:hAnsi="仿宋_GB2312" w:cs="仿宋_GB2312" w:eastAsia="仿宋_GB2312"/>
          <w:sz w:val="32"/>
          <w:szCs w:val="30"/>
        </w:rPr>
        <w:t>信息</w:t>
      </w:r>
      <w:r>
        <w:rPr>
          <w:rFonts w:ascii="仿宋_GB2312" w:hAnsi="仿宋_GB2312" w:cs="仿宋_GB2312" w:hint="eastAsia" w:eastAsia="仿宋_GB2312"/>
          <w:sz w:val="32"/>
          <w:szCs w:val="30"/>
        </w:rPr>
        <w:t>，由市住房建设部门建立信用档案</w:t>
      </w:r>
      <w:r>
        <w:rPr>
          <w:rFonts w:ascii="仿宋_GB2312" w:hAnsi="仿宋_GB2312" w:cs="仿宋_GB2312"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第九条</w:t>
      </w:r>
      <w:r>
        <w:rPr>
          <w:rFonts w:ascii="仿宋_GB2312" w:hAnsi="仿宋_GB2312" w:cs="仿宋_GB2312" w:hint="eastAsia" w:eastAsia="仿宋_GB2312"/>
          <w:sz w:val="32"/>
          <w:szCs w:val="30"/>
        </w:rPr>
        <w:t xml:space="preserve">  勘察、设计、施工、监理、检测、造价咨询、招标代理等单位及其工程建设注册执业人员违反有关法律、法规或者工程建设强制性标准的，市住房建设部门应当将其违法行为载入其信用档案，并予以公示。</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第十条</w:t>
      </w:r>
      <w:r>
        <w:rPr>
          <w:rFonts w:ascii="仿宋_GB2312" w:hAnsi="仿宋_GB2312" w:cs="仿宋_GB2312" w:eastAsia="仿宋_GB2312"/>
          <w:b/>
          <w:bCs/>
          <w:sz w:val="32"/>
          <w:szCs w:val="30"/>
        </w:rPr>
        <w:t xml:space="preserve"> </w:t>
      </w:r>
      <w:r>
        <w:rPr>
          <w:rFonts w:ascii="仿宋_GB2312" w:hAnsi="仿宋_GB2312" w:cs="仿宋_GB2312" w:eastAsia="仿宋_GB2312"/>
          <w:sz w:val="32"/>
          <w:szCs w:val="30"/>
        </w:rPr>
        <w:t xml:space="preserve"> </w:t>
      </w:r>
      <w:r>
        <w:rPr>
          <w:rFonts w:ascii="仿宋_GB2312" w:hAnsi="仿宋_GB2312" w:cs="仿宋_GB2312" w:hint="eastAsia" w:eastAsia="仿宋_GB2312"/>
          <w:sz w:val="32"/>
          <w:szCs w:val="30"/>
        </w:rPr>
        <w:t>市住房建设部门依照本规定暂扣有关资质、资格证书的，应当通报该证书的颁发机关。</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第十一条</w:t>
      </w:r>
      <w:r>
        <w:rPr>
          <w:rFonts w:ascii="仿宋_GB2312" w:hAnsi="仿宋_GB2312" w:hint="eastAsia" w:eastAsia="仿宋_GB2312"/>
          <w:sz w:val="32"/>
          <w:szCs w:val="32"/>
          <w:lang w:val="en-US"/>
        </w:rPr>
        <w:t xml:space="preserve">  </w:t>
      </w:r>
      <w:r>
        <w:rPr>
          <w:rFonts w:ascii="仿宋_GB2312" w:hAnsi="仿宋_GB2312" w:cs="仿宋_GB2312" w:hint="eastAsia" w:eastAsia="仿宋_GB2312"/>
          <w:sz w:val="32"/>
          <w:szCs w:val="30"/>
        </w:rPr>
        <w:t>市住房建设部门违反规定暂扣资质、资格证书</w:t>
      </w:r>
      <w:r>
        <w:rPr>
          <w:rFonts w:ascii="仿宋_GB2312" w:hAnsi="仿宋_GB2312" w:cs="仿宋_GB2312" w:eastAsia="仿宋_GB2312"/>
          <w:sz w:val="32"/>
          <w:szCs w:val="30"/>
        </w:rPr>
        <w:t>的，</w:t>
      </w:r>
      <w:r>
        <w:rPr>
          <w:rFonts w:ascii="仿宋_GB2312" w:hAnsi="仿宋_GB2312" w:cs="仿宋_GB2312" w:hint="eastAsia" w:eastAsia="仿宋_GB2312"/>
          <w:sz w:val="32"/>
          <w:szCs w:val="30"/>
        </w:rPr>
        <w:t>由有关部门</w:t>
      </w:r>
      <w:r>
        <w:rPr>
          <w:rFonts w:ascii="仿宋_GB2312" w:hAnsi="仿宋_GB2312" w:cs="仿宋_GB2312" w:eastAsia="仿宋_GB2312"/>
          <w:sz w:val="32"/>
          <w:szCs w:val="30"/>
        </w:rPr>
        <w:t>对直接负责的主管人员和其他直接责任人员依法给予处分</w:t>
      </w:r>
      <w:r>
        <w:rPr>
          <w:rFonts w:ascii="仿宋_GB2312" w:hAnsi="仿宋_GB2312" w:cs="仿宋_GB2312" w:hint="eastAsia" w:eastAsia="仿宋_GB2312"/>
          <w:sz w:val="32"/>
          <w:szCs w:val="30"/>
        </w:rPr>
        <w:t>。</w:t>
      </w:r>
    </w:p>
    <w:p>
      <w:pPr>
        <w:pStyle w:val="Normal"/>
        <w:spacing w:lineRule="exact" w:line="540"/>
        <w:ind w:firstLine="640" w:end="0"/>
        <w:rPr>
          <w:rFonts w:ascii="仿宋_GB2312" w:hAnsi="仿宋_GB2312" w:eastAsia="仿宋_GB2312" w:cs="仿宋_GB2312" w:hint="eastAsia"/>
          <w:sz w:val="32"/>
          <w:szCs w:val="30"/>
        </w:rPr>
      </w:pPr>
      <w:r>
        <w:rPr>
          <w:rFonts w:ascii="黑体" w:hAnsi="黑体" w:cs="仿宋_GB2312" w:hint="eastAsia" w:eastAsia="黑体"/>
          <w:sz w:val="32"/>
          <w:szCs w:val="30"/>
        </w:rPr>
        <w:t>第十二条</w:t>
      </w:r>
      <w:r>
        <w:rPr>
          <w:rFonts w:ascii="仿宋_GB2312" w:hAnsi="仿宋_GB2312" w:cs="仿宋_GB2312" w:hint="eastAsia" w:eastAsia="仿宋_GB2312"/>
          <w:sz w:val="32"/>
          <w:szCs w:val="30"/>
        </w:rPr>
        <w:t xml:space="preserve"> 对市住房建设部门作出的暂扣资质、资格证书决定不服的，当事人可以依法申请行政复议或者提起行政诉讼。</w:t>
      </w:r>
    </w:p>
    <w:p>
      <w:pPr>
        <w:pStyle w:val="BodyText"/>
        <w:spacing w:lineRule="exact" w:line="540" w:before="0" w:after="0"/>
        <w:ind w:firstLineChars="200" w:startChars="0" w:start="0" w:endChars="0" w:end="0"/>
        <w:rPr>
          <w:rFonts w:ascii="仿宋_GB2312" w:hAnsi="仿宋_GB2312" w:eastAsia="仿宋_GB2312"/>
          <w:sz w:val="32"/>
          <w:szCs w:val="32"/>
        </w:rPr>
      </w:pPr>
      <w:r>
        <w:rPr>
          <w:rFonts w:eastAsia="宋体" w:hint="eastAsia"/>
          <w:lang w:val="en-US" w:eastAsia="zh-CN"/>
        </w:rPr>
        <w:t xml:space="preserve">  </w:t>
      </w:r>
      <w:r>
        <w:rPr>
          <w:rFonts w:ascii="黑体" w:hAnsi="黑体" w:cs="仿宋_GB2312" w:eastAsia="黑体"/>
          <w:kern w:val="2"/>
          <w:sz w:val="32"/>
          <w:szCs w:val="30"/>
          <w:lang w:val="en-US" w:eastAsia="zh-CN"/>
        </w:rPr>
        <w:t>第</w:t>
      </w:r>
      <w:r>
        <w:rPr>
          <w:rFonts w:ascii="黑体" w:hAnsi="黑体" w:cs="仿宋_GB2312" w:hint="eastAsia" w:eastAsia="黑体"/>
          <w:kern w:val="2"/>
          <w:sz w:val="32"/>
          <w:szCs w:val="30"/>
          <w:lang w:val="en-US" w:eastAsia="zh-CN"/>
        </w:rPr>
        <w:t>十三</w:t>
      </w:r>
      <w:r>
        <w:rPr>
          <w:rFonts w:ascii="黑体" w:hAnsi="黑体" w:cs="仿宋_GB2312" w:eastAsia="黑体"/>
          <w:kern w:val="2"/>
          <w:sz w:val="32"/>
          <w:szCs w:val="30"/>
          <w:lang w:val="en-US" w:eastAsia="zh-CN"/>
        </w:rPr>
        <w:t>条</w:t>
      </w:r>
      <w:r>
        <w:rPr>
          <w:rFonts w:ascii="仿宋_GB2312" w:hAnsi="仿宋_GB2312" w:eastAsia="仿宋_GB2312"/>
          <w:kern w:val="2"/>
          <w:sz w:val="32"/>
        </w:rPr>
        <w:t xml:space="preserve"> </w:t>
      </w:r>
      <w:r>
        <w:rPr>
          <w:rFonts w:ascii="仿宋_GB2312" w:hAnsi="仿宋_GB2312" w:hint="eastAsia" w:eastAsia="仿宋_GB2312"/>
          <w:kern w:val="2"/>
          <w:sz w:val="32"/>
          <w:szCs w:val="32"/>
          <w:lang w:eastAsia="zh-CN"/>
        </w:rPr>
        <w:t xml:space="preserve"> </w:t>
      </w:r>
      <w:r>
        <w:rPr>
          <w:rFonts w:ascii="仿宋_GB2312" w:hAnsi="仿宋_GB2312" w:eastAsia="仿宋_GB2312"/>
          <w:kern w:val="2"/>
          <w:sz w:val="32"/>
          <w:szCs w:val="32"/>
        </w:rPr>
        <w:t>本</w:t>
      </w:r>
      <w:r>
        <w:rPr>
          <w:rFonts w:ascii="仿宋_GB2312" w:hAnsi="仿宋_GB2312" w:hint="eastAsia" w:eastAsia="仿宋_GB2312"/>
          <w:kern w:val="2"/>
          <w:sz w:val="32"/>
          <w:szCs w:val="32"/>
          <w:lang w:eastAsia="zh-CN"/>
        </w:rPr>
        <w:t>规定</w:t>
      </w:r>
      <w:r>
        <w:rPr>
          <w:rFonts w:ascii="仿宋_GB2312" w:hAnsi="仿宋_GB2312" w:eastAsia="仿宋_GB2312"/>
          <w:kern w:val="2"/>
          <w:sz w:val="32"/>
          <w:szCs w:val="32"/>
        </w:rPr>
        <w:t>自</w:t>
      </w:r>
      <w:r>
        <w:rPr>
          <w:rFonts w:eastAsia="仿宋_GB2312" w:ascii="仿宋_GB2312" w:hAnsi="仿宋_GB2312"/>
          <w:kern w:val="2"/>
          <w:sz w:val="32"/>
          <w:szCs w:val="32"/>
        </w:rPr>
        <w:t>200</w:t>
      </w:r>
      <w:r>
        <w:rPr>
          <w:rFonts w:eastAsia="仿宋_GB2312" w:hint="eastAsia" w:ascii="仿宋_GB2312" w:hAnsi="仿宋_GB2312"/>
          <w:kern w:val="2"/>
          <w:sz w:val="32"/>
          <w:szCs w:val="32"/>
        </w:rPr>
        <w:t>7</w:t>
      </w:r>
      <w:r>
        <w:rPr>
          <w:rFonts w:ascii="仿宋_GB2312" w:hAnsi="仿宋_GB2312" w:eastAsia="仿宋_GB2312"/>
          <w:kern w:val="2"/>
          <w:sz w:val="32"/>
          <w:szCs w:val="32"/>
        </w:rPr>
        <w:t>年</w:t>
      </w:r>
      <w:r>
        <w:rPr>
          <w:rFonts w:eastAsia="仿宋_GB2312" w:hint="eastAsia" w:ascii="仿宋_GB2312" w:hAnsi="仿宋_GB2312"/>
          <w:kern w:val="2"/>
          <w:sz w:val="32"/>
          <w:szCs w:val="32"/>
          <w:lang w:eastAsia="zh-CN"/>
        </w:rPr>
        <w:t>9</w:t>
      </w:r>
      <w:r>
        <w:rPr>
          <w:rFonts w:ascii="仿宋_GB2312" w:hAnsi="仿宋_GB2312" w:eastAsia="仿宋_GB2312"/>
          <w:kern w:val="2"/>
          <w:sz w:val="32"/>
          <w:szCs w:val="32"/>
        </w:rPr>
        <w:t>月</w:t>
      </w:r>
      <w:r>
        <w:rPr>
          <w:rFonts w:eastAsia="仿宋_GB2312" w:hint="eastAsia" w:ascii="仿宋_GB2312" w:hAnsi="仿宋_GB2312"/>
          <w:kern w:val="2"/>
          <w:sz w:val="32"/>
          <w:szCs w:val="32"/>
          <w:lang w:eastAsia="zh-CN"/>
        </w:rPr>
        <w:t>1</w:t>
      </w:r>
      <w:r>
        <w:rPr>
          <w:rFonts w:ascii="仿宋_GB2312" w:hAnsi="仿宋_GB2312" w:eastAsia="仿宋_GB2312"/>
          <w:kern w:val="2"/>
          <w:sz w:val="32"/>
          <w:szCs w:val="32"/>
        </w:rPr>
        <w:t>日起施行。</w:t>
      </w:r>
    </w:p>
    <w:p>
      <w:pPr>
        <w:pStyle w:val="Normal"/>
        <w:rPr>
          <w:rFonts w:ascii="仿宋_GB2312" w:hAnsi="仿宋_GB2312" w:eastAsia="仿宋_GB2312"/>
          <w:sz w:val="32"/>
          <w:szCs w:val="32"/>
        </w:rPr>
      </w:pPr>
      <w:r>
        <w:rPr>
          <w:rFonts w:eastAsia="仿宋_GB2312" w:ascii="仿宋_GB2312" w:hAnsi="仿宋_GB2312"/>
          <w:sz w:val="32"/>
          <w:szCs w:val="32"/>
        </w:rPr>
      </w:r>
    </w:p>
    <w:sectPr>
      <w:footerReference w:type="default" r:id="rId2"/>
      <w:type w:val="nextPage"/>
      <w:pgSz w:w="11906" w:h="16838"/>
      <w:pgMar w:left="1587" w:right="1587" w:gutter="0" w:header="0" w:top="2098" w:footer="164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sz w:val="18"/>
      </w:rPr>
    </w:pPr>
    <w:r>
      <w:rPr>
        <w:rFonts w:hint="eastAsia"/>
        <w:sz w:val="18"/>
      </w:rPr>
    </w:r>
    <w:r>
      <mc:AlternateContent>
        <mc:Choice Requires="wps">
          <w:drawing>
            <wp:anchor distT="0" distB="0" distL="114935" distR="114935" simplePos="0" relativeHeight="5" behindDoc="1" locked="0" layoutInCell="0" allowOverlap="1">
              <wp:simplePos x="0" y="0"/>
              <wp:positionH relativeFrom="margin">
                <wp:posOffset>2183130</wp:posOffset>
              </wp:positionH>
              <wp:positionV relativeFrom="paragraph">
                <wp:posOffset>635</wp:posOffset>
              </wp:positionV>
              <wp:extent cx="617855" cy="208915"/>
              <wp:effectExtent l="0" t="0" r="0" b="0"/>
              <wp:wrapNone/>
              <wp:docPr id="1" name="Frame2"/>
              <a:graphic xmlns:a="http://schemas.openxmlformats.org/drawingml/2006/main">
                <a:graphicData uri="http://schemas.microsoft.com/office/word/2010/wordprocessingShape">
                  <wps:wsp>
                    <wps:cNvSpPr txBox="1"/>
                    <wps:spPr>
                      <a:xfrm>
                        <a:off x="0" y="0"/>
                        <a:ext cx="617855" cy="208915"/>
                      </a:xfrm>
                      <a:prstGeom prst="rect"/>
                      <a:solidFill>
                        <a:srgbClr val="FFFFFF">
                          <a:alpha val="0"/>
                        </a:srgbClr>
                      </a:solidFill>
                    </wps:spPr>
                    <wps:txbx>
                      <w:txbxContent>
                        <w:p>
                          <w:pPr>
                            <w:pStyle w:val="Footer"/>
                            <w:rPr/>
                          </w:pPr>
                          <w:r>
                            <w:rPr>
                              <w:rFonts w:cs="Times New Roman" w:hint="eastAsia" w:ascii="Times New Roman" w:hAnsi="Times New Roman"/>
                              <w:sz w:val="28"/>
                              <w:szCs w:val="28"/>
                            </w:rPr>
                            <w:t xml:space="preserve">  </w:t>
                          </w:r>
                          <w:r>
                            <w:rPr>
                              <w:rFonts w:cs="Times New Roman" w:ascii="Times New Roman" w:hAnsi="Times New Roman"/>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8.65pt;height:16.45pt;mso-wrap-distance-left:9.05pt;mso-wrap-distance-right:9.05pt;mso-wrap-distance-top:0pt;mso-wrap-distance-bottom:0pt;margin-top:0pt;mso-position-vertical-relative:text;margin-left:171.9pt;mso-position-horizontal-relative:margin">
              <v:fill opacity="0f"/>
              <v:textbox inset="0.000694444444444445in,0.000694444444444445in,0.000694444444444445in,0.000694444444444445in">
                <w:txbxContent>
                  <w:p>
                    <w:pPr>
                      <w:pStyle w:val="Footer"/>
                      <w:rPr/>
                    </w:pPr>
                    <w:r>
                      <w:rPr>
                        <w:rFonts w:cs="Times New Roman" w:hint="eastAsia" w:ascii="Times New Roman" w:hAnsi="Times New Roman"/>
                        <w:sz w:val="28"/>
                        <w:szCs w:val="28"/>
                      </w:rPr>
                      <w:t xml:space="preserve">  </w:t>
                    </w:r>
                    <w:r>
                      <w:rPr>
                        <w:rFonts w:cs="Times New Roman" w:ascii="Times New Roman" w:hAnsi="Times New Roman"/>
                        <w:sz w:val="28"/>
                        <w:szCs w:val="28"/>
                      </w:rPr>
                      <w:t xml:space="preserve">  </w:t>
                    </w:r>
                  </w:p>
                </w:txbxContent>
              </v:textbox>
              <w10:wrap type="none"/>
            </v:rect>
          </w:pict>
        </mc:Fallback>
      </mc:AlternateContent>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批注框文本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before="0" w:after="120"/>
      <w:ind w:firstLine="420" w:start="0" w:end="0"/>
    </w:pPr>
    <w:rPr>
      <w:rFonts w:eastAsia="Times New Roman"/>
      <w:kern w:val="0"/>
      <w:szCs w:val="21"/>
      <w:lang w:val="en-US" w:eastAsia="zxx"/>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sz w:val="18"/>
      <w:szCs w:val="18"/>
    </w:rPr>
  </w:style>
  <w:style w:type="paragraph" w:styleId="Style16">
    <w:name w:val="批注文字"/>
    <w:basedOn w:val="Normal"/>
    <w:qFormat/>
    <w:pPr>
      <w:jc w:val="start"/>
    </w:pPr>
    <w:rPr/>
  </w:style>
  <w:style w:type="paragraph" w:styleId="BodyTextIndent">
    <w:name w:val="Body Text Indent"/>
    <w:basedOn w:val="Normal"/>
    <w:pPr>
      <w:spacing w:lineRule="exact" w:line="520"/>
      <w:ind w:firstLine="640" w:start="0" w:end="0"/>
    </w:pPr>
    <w:rPr>
      <w:rFonts w:ascii="仿宋_GB2312" w:hAnsi="仿宋_GB2312" w:eastAsia="仿宋_GB2312" w:cs="仿宋_GB2312"/>
      <w:sz w:val="32"/>
      <w:szCs w:val="30"/>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批注框文本"/>
    <w:basedOn w:val="Normal"/>
    <w:qFormat/>
    <w:pPr/>
    <w:rPr>
      <w:sz w:val="18"/>
      <w:szCs w:val="18"/>
    </w:rPr>
  </w:style>
  <w:style w:type="paragraph" w:styleId="1">
    <w:name w:val="批注框文本1"/>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2007-08-13T14:25:00Z</dcterms:created>
  <dc:creator> </dc:creator>
  <dc:description/>
  <dc:language>en-US</dc:language>
  <cp:lastModifiedBy>谢浩然</cp:lastModifiedBy>
  <cp:lastPrinted>2007-06-28T17:24:00Z</cp:lastPrinted>
  <dcterms:modified xsi:type="dcterms:W3CDTF">2020-08-04T16:23:40Z</dcterms:modified>
  <cp:revision>4</cp:revision>
  <dc:subject/>
  <dc:title>深圳市建筑市场严重违法行为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