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韶关市农村饮用水水源保护条例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ewNewNew"/>
        <w:keepNext w:val="false"/>
        <w:keepLines w:val="false"/>
        <w:pageBreakBefore w:val="false"/>
        <w:widowControl/>
        <w:numPr>
          <w:ilvl w:val="0"/>
          <w:numId w:val="0"/>
        </w:numPr>
        <w:kinsoku w:val="true"/>
        <w:overflowPunct w:val="true"/>
        <w:autoSpaceDE w:val="true"/>
        <w:bidi w:val="0"/>
        <w:snapToGrid w:val="false"/>
        <w:spacing w:lineRule="exact" w:line="600"/>
        <w:jc w:val="start"/>
        <w:textAlignment w:val="auto"/>
        <w:outlineLvl w:val="0"/>
        <w:rPr>
          <w:rFonts w:ascii="宋体" w:hAnsi="宋体" w:eastAsia="楷体" w:cs="Times New Roman" w:hint="eastAsia"/>
          <w:color w:val="000000"/>
          <w:kern w:val="0"/>
          <w:sz w:val="32"/>
          <w:szCs w:val="48"/>
        </w:rPr>
      </w:pPr>
      <w:r>
        <w:rPr>
          <w:rFonts w:eastAsia="宋体" w:cs="宋体" w:hint="eastAsia" w:ascii="宋体" w:hAnsi="宋体"/>
          <w:color w:val="000000"/>
        </w:rPr>
        <w:t xml:space="preserve"> </w:t>
      </w:r>
      <w:r>
        <w:rPr>
          <w:rFonts w:ascii="宋体" w:hAnsi="宋体" w:cs="Times New Roman" w:hint="eastAsia" w:eastAsia="楷体"/>
          <w:color w:val="000000"/>
          <w:kern w:val="0"/>
          <w:sz w:val="32"/>
          <w:szCs w:val="48"/>
        </w:rPr>
        <w:t>（</w:t>
      </w:r>
      <w:r>
        <w:rPr>
          <w:rFonts w:eastAsia="楷体" w:cs="Times New Roman" w:hint="eastAsia" w:ascii="宋体" w:hAnsi="宋体"/>
          <w:color w:val="000000"/>
          <w:kern w:val="0"/>
          <w:sz w:val="32"/>
          <w:szCs w:val="48"/>
        </w:rPr>
        <w:t>2021</w:t>
      </w:r>
      <w:r>
        <w:rPr>
          <w:rFonts w:ascii="宋体" w:hAnsi="宋体" w:cs="Times New Roman" w:hint="eastAsia" w:eastAsia="楷体"/>
          <w:color w:val="000000"/>
          <w:kern w:val="0"/>
          <w:sz w:val="32"/>
          <w:szCs w:val="48"/>
        </w:rPr>
        <w:t>年</w:t>
      </w:r>
      <w:r>
        <w:rPr>
          <w:rFonts w:eastAsia="楷体" w:cs="Times New Roman" w:hint="eastAsia" w:ascii="宋体" w:hAnsi="宋体"/>
          <w:color w:val="000000"/>
          <w:kern w:val="0"/>
          <w:sz w:val="32"/>
          <w:szCs w:val="48"/>
        </w:rPr>
        <w:t>8</w:t>
      </w:r>
      <w:r>
        <w:rPr>
          <w:rFonts w:ascii="宋体" w:hAnsi="宋体" w:cs="Times New Roman" w:hint="eastAsia" w:eastAsia="楷体"/>
          <w:color w:val="000000"/>
          <w:kern w:val="0"/>
          <w:sz w:val="32"/>
          <w:szCs w:val="48"/>
        </w:rPr>
        <w:t>月</w:t>
      </w:r>
      <w:r>
        <w:rPr>
          <w:rFonts w:eastAsia="楷体" w:cs="Times New Roman" w:hint="eastAsia" w:ascii="宋体" w:hAnsi="宋体"/>
          <w:color w:val="000000"/>
          <w:kern w:val="0"/>
          <w:sz w:val="32"/>
          <w:szCs w:val="48"/>
        </w:rPr>
        <w:t>24</w:t>
      </w:r>
      <w:r>
        <w:rPr>
          <w:rFonts w:ascii="宋体" w:hAnsi="宋体" w:cs="Times New Roman" w:hint="eastAsia" w:eastAsia="楷体"/>
          <w:color w:val="000000"/>
          <w:kern w:val="0"/>
          <w:sz w:val="32"/>
          <w:szCs w:val="48"/>
        </w:rPr>
        <w:t xml:space="preserve">日韶关市第十四届人民代表大会常务委员会第五十次会议通过  </w:t>
      </w:r>
      <w:r>
        <w:rPr>
          <w:rFonts w:eastAsia="楷体" w:cs="Times New Roman" w:hint="eastAsia" w:ascii="宋体" w:hAnsi="宋体"/>
          <w:color w:val="000000"/>
          <w:kern w:val="0"/>
          <w:sz w:val="32"/>
          <w:szCs w:val="48"/>
        </w:rPr>
        <w:t>2021</w:t>
      </w:r>
      <w:r>
        <w:rPr>
          <w:rFonts w:ascii="宋体" w:hAnsi="宋体" w:cs="Times New Roman" w:hint="eastAsia" w:eastAsia="楷体"/>
          <w:color w:val="000000"/>
          <w:kern w:val="0"/>
          <w:sz w:val="32"/>
          <w:szCs w:val="48"/>
        </w:rPr>
        <w:t>年</w:t>
      </w:r>
      <w:r>
        <w:rPr>
          <w:rFonts w:eastAsia="楷体" w:cs="Times New Roman" w:hint="eastAsia" w:ascii="宋体" w:hAnsi="宋体"/>
          <w:color w:val="000000"/>
          <w:kern w:val="0"/>
          <w:sz w:val="32"/>
          <w:szCs w:val="48"/>
        </w:rPr>
        <w:t>12</w:t>
      </w:r>
      <w:r>
        <w:rPr>
          <w:rFonts w:ascii="宋体" w:hAnsi="宋体" w:cs="Times New Roman" w:hint="eastAsia" w:eastAsia="楷体"/>
          <w:color w:val="000000"/>
          <w:kern w:val="0"/>
          <w:sz w:val="32"/>
          <w:szCs w:val="48"/>
        </w:rPr>
        <w:t>月</w:t>
      </w:r>
      <w:r>
        <w:rPr>
          <w:rFonts w:eastAsia="楷体" w:cs="Times New Roman" w:hint="eastAsia" w:ascii="宋体" w:hAnsi="宋体"/>
          <w:color w:val="000000"/>
          <w:kern w:val="0"/>
          <w:sz w:val="32"/>
          <w:szCs w:val="48"/>
        </w:rPr>
        <w:t>1</w:t>
      </w:r>
      <w:r>
        <w:rPr>
          <w:rFonts w:ascii="宋体" w:hAnsi="宋体" w:cs="Times New Roman" w:hint="eastAsia" w:eastAsia="楷体"/>
          <w:color w:val="000000"/>
          <w:kern w:val="0"/>
          <w:sz w:val="32"/>
          <w:szCs w:val="48"/>
        </w:rPr>
        <w:t>日广东省第十三届人民代表大会常务委员会第三十七次会议批准）</w:t>
      </w:r>
    </w:p>
    <w:p>
      <w:pPr>
        <w:pStyle w:val="Style15"/>
        <w:keepNext w:val="false"/>
        <w:keepLines w:val="false"/>
        <w:pageBreakBefore w:val="false"/>
        <w:kinsoku w:val="true"/>
        <w:overflowPunct w:val="true"/>
        <w:autoSpaceDE w:val="true"/>
        <w:bidi w:val="0"/>
        <w:spacing w:lineRule="exact" w:line="600"/>
        <w:textAlignment w:val="auto"/>
        <w:rPr>
          <w:rFonts w:ascii="宋体" w:hAnsi="宋体" w:eastAsia="楷体" w:cs="楷体" w:hint="eastAsia"/>
          <w:color w:val="000000"/>
          <w:kern w:val="0"/>
          <w:sz w:val="32"/>
          <w:szCs w:val="32"/>
        </w:rPr>
      </w:pPr>
      <w:r>
        <w:rPr>
          <w:rFonts w:eastAsia="楷体" w:cs="楷体" w:hint="eastAsia" w:ascii="宋体" w:hAnsi="宋体"/>
          <w:color w:val="000000"/>
          <w:kern w:val="0"/>
          <w:sz w:val="3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eastAsia="黑体" w:cs="黑体"/>
          <w:color w:val="000000"/>
          <w:sz w:val="32"/>
          <w:szCs w:val="32"/>
        </w:rPr>
      </w:pPr>
      <w:r>
        <w:rPr>
          <w:rFonts w:ascii="楷体_GB2312" w:hAnsi="楷体_GB2312" w:cs="Times New Roman" w:hint="eastAsia" w:eastAsia="楷体_GB2312"/>
          <w:b w:val="false"/>
          <w:bCs/>
          <w:kern w:val="0"/>
          <w:sz w:val="32"/>
          <w:szCs w:val="32"/>
        </w:rPr>
        <w:t>目　录</w:t>
      </w:r>
    </w:p>
    <w:p>
      <w:pPr>
        <w:pStyle w:val="Normal"/>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第一章  总则</w:t>
      </w:r>
    </w:p>
    <w:p>
      <w:pPr>
        <w:pStyle w:val="Normal"/>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第二章  范围与保护</w:t>
      </w:r>
    </w:p>
    <w:p>
      <w:pPr>
        <w:pStyle w:val="Normal"/>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第三章  保障与管理</w:t>
      </w:r>
    </w:p>
    <w:p>
      <w:pPr>
        <w:pStyle w:val="Normal"/>
        <w:ind w:firstLineChars="200" w:startChars="0" w:start="0" w:endChars="0" w:end="0"/>
        <w:rPr>
          <w:rFonts w:ascii="楷体_GB2312" w:hAnsi="楷体_GB2312" w:eastAsia="楷体_GB2312" w:cs="Times New Roman" w:hint="eastAsia"/>
          <w:kern w:val="0"/>
          <w:sz w:val="32"/>
          <w:szCs w:val="32"/>
        </w:rPr>
      </w:pPr>
      <w:r>
        <w:rPr>
          <w:rFonts w:ascii="楷体_GB2312" w:hAnsi="楷体_GB2312" w:cs="Times New Roman" w:hint="eastAsia" w:eastAsia="楷体_GB2312"/>
          <w:kern w:val="0"/>
          <w:sz w:val="32"/>
          <w:szCs w:val="32"/>
        </w:rPr>
        <w:t>第四章  法律责任</w:t>
      </w:r>
    </w:p>
    <w:p>
      <w:pPr>
        <w:pStyle w:val="Normal"/>
        <w:ind w:firstLineChars="200" w:startChars="0" w:start="0" w:endChars="0" w:end="0"/>
        <w:rPr>
          <w:rFonts w:ascii="宋体" w:hAnsi="宋体" w:eastAsia="黑体" w:cs="黑体"/>
          <w:color w:val="000000"/>
          <w:sz w:val="32"/>
          <w:szCs w:val="32"/>
        </w:rPr>
      </w:pPr>
      <w:r>
        <w:rPr>
          <w:rFonts w:ascii="楷体_GB2312" w:hAnsi="楷体_GB2312" w:cs="Times New Roman" w:hint="eastAsia" w:eastAsia="楷体_GB2312"/>
          <w:kern w:val="0"/>
          <w:sz w:val="32"/>
          <w:szCs w:val="32"/>
        </w:rPr>
        <w:t>第五章  附则</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黑体" w:cs="黑体"/>
          <w:color w:val="000000"/>
          <w:sz w:val="32"/>
          <w:szCs w:val="21"/>
        </w:rPr>
      </w:pPr>
      <w:r>
        <w:rPr>
          <w:rFonts w:eastAsia="黑体" w:cs="黑体" w:ascii="宋体" w:hAnsi="宋体"/>
          <w:color w:val="000000"/>
          <w:sz w:val="32"/>
          <w:szCs w:val="21"/>
        </w:rPr>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黑体"/>
          <w:color w:val="000000"/>
          <w:sz w:val="32"/>
          <w:szCs w:val="32"/>
        </w:rPr>
      </w:pPr>
      <w:r>
        <w:rPr>
          <w:rFonts w:ascii="宋体" w:hAnsi="宋体" w:cs="黑体" w:hint="eastAsia" w:eastAsia="黑体"/>
          <w:color w:val="000000"/>
          <w:sz w:val="32"/>
          <w:szCs w:val="32"/>
        </w:rPr>
        <w:t>第一章　总　则</w:t>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仿宋_GB2312" w:cs="仿宋_GB2312"/>
          <w:color w:val="000000"/>
          <w:sz w:val="32"/>
          <w:szCs w:val="21"/>
        </w:rPr>
      </w:pPr>
      <w:r>
        <w:rPr>
          <w:rFonts w:eastAsia="仿宋_GB2312" w:cs="仿宋_GB2312" w:ascii="宋体" w:hAnsi="宋体"/>
          <w:color w:val="000000"/>
          <w:sz w:val="32"/>
          <w:szCs w:val="21"/>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第一条  </w:t>
      </w:r>
      <w:r>
        <w:rPr>
          <w:rFonts w:ascii="宋体" w:hAnsi="宋体" w:cs="仿宋_GB2312" w:hint="eastAsia" w:eastAsia="仿宋_GB2312"/>
          <w:color w:val="000000"/>
          <w:sz w:val="32"/>
          <w:szCs w:val="32"/>
        </w:rPr>
        <w:t>为了加强农村饮用水水源保护，保障农村饮用水安全，维护人民群众身体健康，</w:t>
      </w:r>
      <w:bookmarkStart w:id="0" w:name="_Hlk69368414"/>
      <w:r>
        <w:rPr>
          <w:rFonts w:ascii="宋体" w:hAnsi="宋体" w:cs="仿宋_GB2312" w:hint="eastAsia" w:eastAsia="仿宋_GB2312"/>
          <w:color w:val="000000"/>
          <w:sz w:val="32"/>
          <w:szCs w:val="32"/>
        </w:rPr>
        <w:t>促进乡村振兴，</w:t>
      </w:r>
      <w:bookmarkEnd w:id="0"/>
      <w:r>
        <w:rPr>
          <w:rFonts w:ascii="宋体" w:hAnsi="宋体" w:cs="仿宋_GB2312" w:hint="eastAsia" w:eastAsia="仿宋_GB2312"/>
          <w:color w:val="000000"/>
          <w:sz w:val="32"/>
          <w:szCs w:val="32"/>
        </w:rPr>
        <w:t>根据《中华人民共和国</w:t>
      </w:r>
      <w:bookmarkStart w:id="1" w:name="_Hlk69368484"/>
      <w:r>
        <w:rPr>
          <w:rFonts w:ascii="宋体" w:hAnsi="宋体" w:cs="仿宋_GB2312" w:hint="eastAsia" w:eastAsia="仿宋_GB2312"/>
          <w:color w:val="000000"/>
          <w:sz w:val="32"/>
          <w:szCs w:val="32"/>
        </w:rPr>
        <w:t>环境保护法》</w:t>
      </w:r>
      <w:bookmarkEnd w:id="1"/>
      <w:r>
        <w:rPr>
          <w:rFonts w:ascii="宋体" w:hAnsi="宋体" w:cs="仿宋_GB2312" w:hint="eastAsia" w:eastAsia="仿宋_GB2312"/>
          <w:color w:val="000000"/>
          <w:sz w:val="32"/>
          <w:szCs w:val="32"/>
        </w:rPr>
        <w:t>《中华人民共和国水污染防治法》等法律法规，结合本市实际，制定本条例。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bookmarkStart w:id="2" w:name="_Hlk44838113"/>
      <w:r>
        <w:rPr>
          <w:rFonts w:ascii="宋体" w:hAnsi="宋体" w:cs="黑体" w:hint="eastAsia" w:eastAsia="黑体"/>
          <w:color w:val="000000"/>
          <w:sz w:val="32"/>
          <w:szCs w:val="32"/>
        </w:rPr>
        <w:t xml:space="preserve">第二条  </w:t>
      </w:r>
      <w:r>
        <w:rPr>
          <w:rFonts w:ascii="宋体" w:hAnsi="宋体" w:cs="仿宋_GB2312" w:hint="eastAsia" w:eastAsia="仿宋_GB2312"/>
          <w:color w:val="000000"/>
          <w:sz w:val="32"/>
          <w:szCs w:val="32"/>
        </w:rPr>
        <w:t>本市行政区域内农村饮用水水源保护适用本条例。</w:t>
      </w:r>
      <w:bookmarkEnd w:id="2"/>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bookmarkStart w:id="3" w:name="_Hlk44839149"/>
      <w:r>
        <w:rPr>
          <w:rFonts w:ascii="宋体" w:hAnsi="宋体" w:cs="仿宋_GB2312" w:hint="eastAsia" w:eastAsia="仿宋_GB2312"/>
          <w:color w:val="000000"/>
          <w:sz w:val="32"/>
          <w:szCs w:val="32"/>
        </w:rPr>
        <w:t>本条例所称农村饮用水水源，是指</w:t>
      </w:r>
      <w:bookmarkStart w:id="4" w:name="_Hlk69368568"/>
      <w:r>
        <w:rPr>
          <w:rFonts w:ascii="宋体" w:hAnsi="宋体" w:cs="仿宋_GB2312" w:hint="eastAsia" w:eastAsia="仿宋_GB2312"/>
          <w:color w:val="000000"/>
          <w:sz w:val="32"/>
          <w:szCs w:val="32"/>
        </w:rPr>
        <w:t>尚未纳入城镇集中供水的可供农村居民生活饮用的地表水源和地下水源。</w:t>
      </w:r>
      <w:bookmarkEnd w:id="3"/>
    </w:p>
    <w:p>
      <w:pPr>
        <w:pStyle w:val="NormalIndent1"/>
        <w:keepNext w:val="false"/>
        <w:keepLines w:val="false"/>
        <w:pageBreakBefore w:val="false"/>
        <w:kinsoku w:val="true"/>
        <w:overflowPunct w:val="true"/>
        <w:autoSpaceDE w:val="true"/>
        <w:bidi w:val="0"/>
        <w:spacing w:lineRule="exact" w:line="590"/>
        <w:ind w:firstLineChars="0" w:firstLine="0" w:endChars="0" w:end="0"/>
        <w:textAlignment w:val="auto"/>
        <w:rPr>
          <w:rFonts w:ascii="宋体" w:hAnsi="宋体" w:eastAsia="仿宋_GB2312" w:cs="宋体"/>
          <w:color w:val="000000"/>
        </w:rPr>
      </w:pPr>
      <w:r>
        <w:rPr>
          <w:rFonts w:eastAsia="仿宋_GB2312" w:cs="仿宋_GB2312" w:hint="eastAsia" w:ascii="宋体" w:hAnsi="宋体"/>
          <w:color w:val="000000"/>
          <w:sz w:val="32"/>
          <w:szCs w:val="32"/>
        </w:rPr>
        <w:t xml:space="preserve">    </w:t>
      </w:r>
      <w:r>
        <w:rPr>
          <w:rFonts w:ascii="宋体" w:hAnsi="宋体" w:cs="仿宋_GB2312" w:hint="eastAsia"/>
          <w:color w:val="000000"/>
          <w:sz w:val="32"/>
          <w:szCs w:val="32"/>
        </w:rPr>
        <w:t>农村饮用水水源分为集中式供水水源和分散式供水水源。集中式供水水源是指供水人口一般大于</w:t>
      </w:r>
      <w:r>
        <w:rPr>
          <w:rFonts w:eastAsia="仿宋_GB2312" w:cs="仿宋_GB2312" w:hint="eastAsia" w:ascii="宋体" w:hAnsi="宋体"/>
          <w:color w:val="000000"/>
          <w:sz w:val="32"/>
          <w:szCs w:val="32"/>
        </w:rPr>
        <w:t>1000</w:t>
      </w:r>
      <w:r>
        <w:rPr>
          <w:rFonts w:ascii="宋体" w:hAnsi="宋体" w:cs="仿宋_GB2312" w:hint="eastAsia"/>
          <w:color w:val="000000"/>
          <w:sz w:val="32"/>
          <w:szCs w:val="32"/>
        </w:rPr>
        <w:t>人的在用、备用和规划水源</w:t>
      </w:r>
      <w:r>
        <w:rPr>
          <w:rFonts w:ascii="宋体" w:hAnsi="宋体" w:cs="仿宋_GB2312" w:hint="eastAsia"/>
          <w:color w:val="000000"/>
          <w:sz w:val="32"/>
          <w:szCs w:val="32"/>
          <w:lang w:val="en"/>
        </w:rPr>
        <w:t>；</w:t>
      </w:r>
      <w:r>
        <w:rPr>
          <w:rFonts w:ascii="宋体" w:hAnsi="宋体" w:cs="仿宋_GB2312" w:hint="eastAsia"/>
          <w:color w:val="000000"/>
          <w:sz w:val="32"/>
          <w:szCs w:val="32"/>
        </w:rPr>
        <w:t>分散式供水水源是指供水人口一般小于</w:t>
      </w:r>
      <w:r>
        <w:rPr>
          <w:rFonts w:eastAsia="仿宋_GB2312" w:cs="仿宋_GB2312" w:hint="eastAsia" w:ascii="宋体" w:hAnsi="宋体"/>
          <w:color w:val="000000"/>
          <w:sz w:val="32"/>
          <w:szCs w:val="32"/>
        </w:rPr>
        <w:t>1000</w:t>
      </w:r>
      <w:r>
        <w:rPr>
          <w:rFonts w:ascii="宋体" w:hAnsi="宋体" w:cs="仿宋_GB2312" w:hint="eastAsia"/>
          <w:color w:val="000000"/>
          <w:sz w:val="32"/>
          <w:szCs w:val="32"/>
        </w:rPr>
        <w:t>人的在用、备用和规划水源。</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bookmarkEnd w:id="4"/>
      <w:r>
        <w:rPr>
          <w:rFonts w:ascii="宋体" w:hAnsi="宋体" w:cs="黑体" w:hint="eastAsia" w:eastAsia="黑体"/>
          <w:color w:val="000000"/>
          <w:sz w:val="32"/>
          <w:szCs w:val="32"/>
        </w:rPr>
        <w:t xml:space="preserve">第三条  </w:t>
      </w:r>
      <w:r>
        <w:rPr>
          <w:rFonts w:ascii="宋体" w:hAnsi="宋体" w:cs="仿宋_GB2312" w:hint="eastAsia" w:eastAsia="仿宋_GB2312"/>
          <w:color w:val="000000"/>
          <w:sz w:val="32"/>
          <w:szCs w:val="32"/>
        </w:rPr>
        <w:t>农村饮用水水源保护应当遵循政府主导、预防污染、防治结合、保障安全的原则。</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第四条  </w:t>
      </w:r>
      <w:r>
        <w:rPr>
          <w:rFonts w:ascii="宋体" w:hAnsi="宋体" w:cs="仿宋_GB2312" w:hint="eastAsia" w:eastAsia="仿宋_GB2312"/>
          <w:color w:val="000000"/>
          <w:sz w:val="32"/>
          <w:szCs w:val="32"/>
        </w:rPr>
        <w:t>市人民政府应当建立健全农村饮用水水源保护评价考核机制，将农村饮用水水源保护工作纳入乡村振兴实绩考核内容。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人民政府应当统筹本行政区域内农村饮用水水源保护工作，将</w:t>
      </w:r>
      <w:bookmarkStart w:id="5" w:name="_Hlk43970474"/>
      <w:r>
        <w:rPr>
          <w:rFonts w:ascii="宋体" w:hAnsi="宋体" w:cs="仿宋_GB2312" w:hint="eastAsia" w:eastAsia="仿宋_GB2312"/>
          <w:color w:val="000000"/>
          <w:sz w:val="32"/>
          <w:szCs w:val="32"/>
        </w:rPr>
        <w:t>农村</w:t>
      </w:r>
      <w:bookmarkEnd w:id="5"/>
      <w:r>
        <w:rPr>
          <w:rFonts w:ascii="宋体" w:hAnsi="宋体" w:cs="仿宋_GB2312" w:hint="eastAsia" w:eastAsia="仿宋_GB2312"/>
          <w:color w:val="000000"/>
          <w:sz w:val="32"/>
          <w:szCs w:val="32"/>
        </w:rPr>
        <w:t>饮用水水源保护纳入国民经济和社会发展规划。农村饮用水水源保护经费列入本级财政预算。</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镇</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乡</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人民政府、街道办事处应当加强农村饮用水水源保护的日常监督管理，组织、协调农村饮用水供水企业、村民委员会或者村民小组开展农村饮用水水源保护的相关工作。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村民委员会或者村民小组应当组织制定村规民约，教育、引导村民自觉履行义务、积极参与农村饮用水水源保护工作。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第五条  </w:t>
      </w:r>
      <w:r>
        <w:rPr>
          <w:rFonts w:ascii="宋体" w:hAnsi="宋体" w:cs="仿宋_GB2312" w:hint="eastAsia" w:eastAsia="仿宋_GB2312"/>
          <w:color w:val="000000"/>
          <w:sz w:val="32"/>
          <w:szCs w:val="32"/>
        </w:rPr>
        <w:t>市、县（市、区）人民政府生态</w:t>
      </w:r>
      <w:r>
        <w:rPr>
          <w:rFonts w:ascii="宋体" w:hAnsi="宋体" w:cs="仿宋_GB2312" w:hint="eastAsia" w:eastAsia="仿宋_GB2312"/>
          <w:color w:val="000000"/>
          <w:sz w:val="32"/>
          <w:szCs w:val="32"/>
          <w:shd w:fill="FFFFFF" w:val="clear"/>
        </w:rPr>
        <w:t>环境主管部门负责农村集中式饮用水水源</w:t>
      </w:r>
      <w:bookmarkStart w:id="6" w:name="_Hlk69369060"/>
      <w:r>
        <w:rPr>
          <w:rFonts w:ascii="宋体" w:hAnsi="宋体" w:cs="仿宋_GB2312" w:hint="eastAsia" w:eastAsia="仿宋_GB2312"/>
          <w:color w:val="000000"/>
          <w:sz w:val="32"/>
          <w:szCs w:val="32"/>
          <w:shd w:fill="FFFFFF" w:val="clear"/>
        </w:rPr>
        <w:t>生态环境</w:t>
      </w:r>
      <w:bookmarkEnd w:id="6"/>
      <w:r>
        <w:rPr>
          <w:rFonts w:ascii="宋体" w:hAnsi="宋体" w:cs="仿宋_GB2312" w:hint="eastAsia" w:eastAsia="仿宋_GB2312"/>
          <w:color w:val="000000"/>
          <w:sz w:val="32"/>
          <w:szCs w:val="32"/>
          <w:shd w:fill="FFFFFF" w:val="clear"/>
        </w:rPr>
        <w:t>保护的监督管理工作。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shd w:fill="FFFFFF" w:val="clear"/>
        </w:rPr>
      </w:pPr>
      <w:r>
        <w:rPr>
          <w:rFonts w:ascii="宋体" w:hAnsi="宋体" w:cs="仿宋_GB2312" w:hint="eastAsia" w:eastAsia="仿宋_GB2312"/>
          <w:color w:val="000000"/>
          <w:sz w:val="32"/>
          <w:szCs w:val="32"/>
        </w:rPr>
        <w:t>市</w:t>
      </w:r>
      <w:bookmarkStart w:id="7" w:name="_Hlk69369077"/>
      <w:r>
        <w:rPr>
          <w:rFonts w:ascii="宋体" w:hAnsi="宋体" w:cs="仿宋_GB2312" w:hint="eastAsia" w:eastAsia="仿宋_GB2312"/>
          <w:color w:val="000000"/>
          <w:sz w:val="32"/>
          <w:szCs w:val="32"/>
        </w:rPr>
        <w:t>、县（市、区）</w:t>
      </w:r>
      <w:bookmarkEnd w:id="7"/>
      <w:r>
        <w:rPr>
          <w:rFonts w:ascii="宋体" w:hAnsi="宋体" w:cs="仿宋_GB2312" w:hint="eastAsia" w:eastAsia="仿宋_GB2312"/>
          <w:color w:val="000000"/>
          <w:sz w:val="32"/>
          <w:szCs w:val="32"/>
        </w:rPr>
        <w:t>人民政府水行政主管部门负责农村分散式饮用水水源保护的</w:t>
      </w:r>
      <w:r>
        <w:rPr>
          <w:rFonts w:ascii="宋体" w:hAnsi="宋体" w:cs="仿宋_GB2312" w:hint="eastAsia" w:eastAsia="仿宋_GB2312"/>
          <w:color w:val="000000"/>
          <w:sz w:val="32"/>
          <w:szCs w:val="32"/>
          <w:shd w:fill="FFFFFF" w:val="clear"/>
        </w:rPr>
        <w:t>监督管理工作。</w:t>
      </w:r>
    </w:p>
    <w:p>
      <w:pPr>
        <w:pStyle w:val="NormalIndent1"/>
        <w:keepNext w:val="false"/>
        <w:keepLines w:val="false"/>
        <w:pageBreakBefore w:val="false"/>
        <w:kinsoku w:val="true"/>
        <w:overflowPunct w:val="true"/>
        <w:autoSpaceDE w:val="true"/>
        <w:bidi w:val="0"/>
        <w:spacing w:lineRule="exact" w:line="590"/>
        <w:textAlignment w:val="auto"/>
        <w:rPr>
          <w:rFonts w:ascii="宋体" w:hAnsi="宋体" w:eastAsia="仿宋_GB2312" w:cs="仿宋_GB2312"/>
          <w:color w:val="000000"/>
          <w:kern w:val="2"/>
          <w:sz w:val="32"/>
          <w:szCs w:val="32"/>
        </w:rPr>
      </w:pPr>
      <w:r>
        <w:rPr>
          <w:rFonts w:ascii="宋体" w:hAnsi="宋体" w:cs="仿宋_GB2312" w:hint="eastAsia"/>
          <w:color w:val="000000"/>
          <w:kern w:val="2"/>
          <w:sz w:val="32"/>
          <w:szCs w:val="32"/>
        </w:rPr>
        <w:t>市、县（市、区）人民政府卫生健康主管部门负责指导开展农村饮用水水质监测和卫生监督工作。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市、县（市、区）人民政府发展改革、公安、财政、农业农村、自然资源、城乡建设、交通运输、林业等主管部门按照各自的职责，做好农村饮用水水源保护的有关工作。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黑体" w:cs="黑体"/>
          <w:color w:val="000000"/>
          <w:sz w:val="32"/>
          <w:szCs w:val="32"/>
        </w:rPr>
      </w:pPr>
      <w:r>
        <w:rPr>
          <w:rFonts w:ascii="宋体" w:hAnsi="宋体" w:cs="黑体" w:hint="eastAsia" w:eastAsia="黑体"/>
          <w:color w:val="000000"/>
          <w:sz w:val="32"/>
          <w:szCs w:val="32"/>
        </w:rPr>
        <w:t xml:space="preserve">第六条  </w:t>
      </w:r>
      <w:r>
        <w:rPr>
          <w:rFonts w:ascii="宋体" w:hAnsi="宋体" w:cs="仿宋_GB2312" w:hint="eastAsia" w:eastAsia="仿宋_GB2312"/>
          <w:color w:val="000000"/>
          <w:sz w:val="32"/>
          <w:szCs w:val="32"/>
        </w:rPr>
        <w:t>市、县（市、区）人民政府及其有关主管部门应当组织开展农村饮用水水源保护宣传教育工作。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广播、电视、报刊、互联网和手机媒体等大众传媒应当开展农村饮用水水源保护的宣传，并进行舆论监督。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第七条  </w:t>
      </w:r>
      <w:r>
        <w:rPr>
          <w:rFonts w:ascii="宋体" w:hAnsi="宋体" w:cs="仿宋_GB2312" w:hint="eastAsia" w:eastAsia="仿宋_GB2312"/>
          <w:color w:val="000000"/>
          <w:sz w:val="32"/>
          <w:szCs w:val="32"/>
        </w:rPr>
        <w:t>任何单位和个人都有保护农村饮用水水源的义务，对污染、破坏农村饮用水水源的违法行为有举报的权利。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鼓励社会组织和志愿者参与农村饮用水水源保护工作。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w:t>
      </w:r>
      <w:r>
        <w:rPr>
          <w:rFonts w:ascii="宋体" w:hAnsi="宋体" w:cs="仿宋_GB2312" w:hint="eastAsia" w:eastAsia="仿宋_GB2312"/>
          <w:color w:val="000000"/>
          <w:sz w:val="32"/>
          <w:szCs w:val="32"/>
          <w:shd w:fill="FFFFFF" w:val="clear"/>
        </w:rPr>
        <w:t>及其有关主管部门可以</w:t>
      </w:r>
      <w:r>
        <w:rPr>
          <w:rFonts w:ascii="宋体" w:hAnsi="宋体" w:cs="仿宋_GB2312" w:hint="eastAsia" w:eastAsia="仿宋_GB2312"/>
          <w:color w:val="000000"/>
          <w:sz w:val="32"/>
          <w:szCs w:val="32"/>
        </w:rPr>
        <w:t>对在农村饮用水水源保护工作中做出显著成绩的单位和个人依法给予表彰奖励。</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21"/>
        </w:rPr>
      </w:pPr>
      <w:r>
        <w:rPr>
          <w:rFonts w:eastAsia="仿宋_GB2312" w:cs="仿宋_GB2312" w:ascii="宋体" w:hAnsi="宋体"/>
          <w:color w:val="000000"/>
          <w:sz w:val="32"/>
          <w:szCs w:val="21"/>
        </w:rPr>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黑体"/>
          <w:color w:val="000000"/>
          <w:sz w:val="32"/>
          <w:szCs w:val="32"/>
        </w:rPr>
      </w:pPr>
      <w:r>
        <w:rPr>
          <w:rFonts w:ascii="宋体" w:hAnsi="宋体" w:cs="黑体" w:hint="eastAsia" w:eastAsia="黑体"/>
          <w:color w:val="000000"/>
          <w:sz w:val="32"/>
          <w:szCs w:val="32"/>
        </w:rPr>
        <w:t>第二章　范围与保护</w:t>
      </w:r>
    </w:p>
    <w:p>
      <w:pPr>
        <w:pStyle w:val="Normal"/>
        <w:keepNext w:val="false"/>
        <w:keepLines w:val="false"/>
        <w:pageBreakBefore w:val="false"/>
        <w:kinsoku w:val="true"/>
        <w:overflowPunct w:val="true"/>
        <w:autoSpaceDE w:val="true"/>
        <w:bidi w:val="0"/>
        <w:spacing w:lineRule="exact" w:line="590"/>
        <w:textAlignment w:val="auto"/>
        <w:rPr>
          <w:rFonts w:ascii="宋体" w:hAnsi="宋体" w:eastAsia="仿宋_GB2312" w:cs="仿宋_GB2312"/>
          <w:color w:val="000000"/>
          <w:sz w:val="32"/>
          <w:szCs w:val="21"/>
        </w:rPr>
      </w:pPr>
      <w:r>
        <w:rPr>
          <w:rFonts w:eastAsia="仿宋_GB2312" w:cs="仿宋_GB2312" w:ascii="宋体" w:hAnsi="宋体"/>
          <w:color w:val="000000"/>
          <w:sz w:val="32"/>
          <w:szCs w:val="21"/>
        </w:rPr>
      </w:r>
    </w:p>
    <w:p>
      <w:pPr>
        <w:pStyle w:val="Normal"/>
        <w:keepNext w:val="false"/>
        <w:keepLines w:val="false"/>
        <w:pageBreakBefore w:val="false"/>
        <w:kinsoku w:val="true"/>
        <w:overflowPunct w:val="true"/>
        <w:autoSpaceDE w:val="true"/>
        <w:bidi w:val="0"/>
        <w:spacing w:lineRule="exact" w:line="590"/>
        <w:textAlignment w:val="auto"/>
        <w:rPr>
          <w:rFonts w:ascii="宋体" w:hAnsi="宋体" w:eastAsia="黑体" w:cs="黑体"/>
          <w:color w:val="000000"/>
          <w:sz w:val="32"/>
          <w:szCs w:val="32"/>
        </w:rPr>
      </w:pPr>
      <w:r>
        <w:rPr>
          <w:rFonts w:eastAsia="仿宋_GB2312" w:cs="仿宋_GB2312" w:hint="eastAsia" w:ascii="宋体" w:hAnsi="宋体"/>
          <w:color w:val="000000"/>
          <w:sz w:val="32"/>
          <w:szCs w:val="21"/>
        </w:rPr>
        <w:t xml:space="preserve"> </w:t>
      </w:r>
      <w:r>
        <w:rPr>
          <w:rFonts w:eastAsia="仿宋_GB2312" w:cs="仿宋_GB2312" w:ascii="宋体" w:hAnsi="宋体"/>
          <w:color w:val="000000"/>
          <w:sz w:val="32"/>
          <w:szCs w:val="21"/>
        </w:rPr>
        <w:t xml:space="preserve">   </w:t>
      </w:r>
      <w:r>
        <w:rPr>
          <w:rFonts w:eastAsia="仿宋_GB2312" w:cs="仿宋_GB2312" w:hint="eastAsia" w:ascii="宋体" w:hAnsi="宋体"/>
          <w:color w:val="000000"/>
          <w:sz w:val="32"/>
          <w:szCs w:val="21"/>
        </w:rPr>
        <w:t xml:space="preserve">  </w:t>
      </w:r>
      <w:r>
        <w:rPr>
          <w:rFonts w:ascii="宋体" w:hAnsi="宋体" w:cs="黑体" w:hint="eastAsia" w:eastAsia="黑体"/>
          <w:color w:val="000000"/>
          <w:sz w:val="32"/>
          <w:szCs w:val="32"/>
        </w:rPr>
        <w:t xml:space="preserve">第八条  </w:t>
      </w:r>
      <w:r>
        <w:rPr>
          <w:rFonts w:ascii="宋体" w:hAnsi="宋体" w:cs="仿宋_GB2312" w:hint="eastAsia" w:eastAsia="仿宋_GB2312"/>
          <w:color w:val="000000"/>
          <w:sz w:val="32"/>
          <w:szCs w:val="32"/>
        </w:rPr>
        <w:t>县（市、区）人民政府应当组织有关部门编制本行政区域内农村饮用水水源规划，其规划应当充分论证供水量、供水质量、供水人口、供水方式、经济技术要素等主要指标，科学确定农村饮用水水源，并实行名录管理，及时向社会公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第九条  </w:t>
      </w:r>
      <w:r>
        <w:rPr>
          <w:rFonts w:ascii="宋体" w:hAnsi="宋体" w:cs="仿宋_GB2312" w:hint="eastAsia" w:eastAsia="仿宋_GB2312"/>
          <w:color w:val="000000"/>
          <w:sz w:val="32"/>
          <w:szCs w:val="32"/>
        </w:rPr>
        <w:t>农村饮用水水源保护区（范围）划定应当遵循科学合理、分级分类、风险可控、便于管理、水源良好的原则。</w:t>
      </w:r>
      <w:r>
        <w:rPr>
          <w:rFonts w:ascii="宋体" w:hAnsi="宋体" w:cs="仿宋_GB2312" w:eastAsia="仿宋_GB2312"/>
          <w:color w:val="000000"/>
          <w:sz w:val="32"/>
          <w:szCs w:val="32"/>
        </w:rPr>
        <w:t xml:space="preserve"> </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bookmarkStart w:id="8" w:name="_Hlk69311857"/>
      <w:r>
        <w:rPr>
          <w:rFonts w:ascii="宋体" w:hAnsi="宋体" w:cs="黑体" w:hint="eastAsia" w:eastAsia="黑体"/>
          <w:color w:val="000000"/>
          <w:sz w:val="32"/>
          <w:szCs w:val="32"/>
        </w:rPr>
        <w:t>第十条</w:t>
      </w:r>
      <w:bookmarkEnd w:id="8"/>
      <w:r>
        <w:rPr>
          <w:rFonts w:ascii="宋体" w:hAnsi="宋体" w:cs="黑体" w:hint="eastAsia" w:eastAsia="黑体"/>
          <w:color w:val="000000"/>
          <w:sz w:val="32"/>
          <w:szCs w:val="32"/>
        </w:rPr>
        <w:t xml:space="preserve">  </w:t>
      </w:r>
      <w:r>
        <w:rPr>
          <w:rFonts w:ascii="宋体" w:hAnsi="宋体" w:cs="仿宋_GB2312" w:hint="eastAsia" w:eastAsia="仿宋_GB2312"/>
          <w:color w:val="000000"/>
          <w:sz w:val="32"/>
          <w:szCs w:val="32"/>
        </w:rPr>
        <w:t>农村集中式饮用水水源保护区划定标准，按照《饮用水水源保护区划分技术规范》执行。划定的农村集中式饮用水水源保护区应依法报经批准，并向社会公布。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第十一条 </w:t>
      </w:r>
      <w:r>
        <w:rPr>
          <w:rFonts w:ascii="宋体" w:hAnsi="宋体" w:cs="黑体" w:hint="eastAsia" w:eastAsia="黑体"/>
          <w:color w:val="FF0000"/>
          <w:sz w:val="32"/>
          <w:szCs w:val="32"/>
        </w:rPr>
        <w:t xml:space="preserve"> </w:t>
      </w:r>
      <w:r>
        <w:rPr>
          <w:rFonts w:ascii="宋体" w:hAnsi="宋体" w:cs="仿宋_GB2312" w:hint="eastAsia" w:eastAsia="仿宋_GB2312"/>
          <w:color w:val="000000"/>
          <w:sz w:val="32"/>
          <w:szCs w:val="32"/>
        </w:rPr>
        <w:t>农村分散式饮用水水源保护范围按照下列标准划定：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bookmarkStart w:id="9" w:name="_Hlk43448062"/>
      <w:r>
        <w:rPr>
          <w:rFonts w:ascii="宋体" w:hAnsi="宋体" w:cs="仿宋_GB2312" w:hint="eastAsia" w:eastAsia="仿宋_GB2312"/>
          <w:color w:val="000000"/>
          <w:sz w:val="32"/>
          <w:szCs w:val="32"/>
        </w:rPr>
        <w:t>（一</w:t>
      </w:r>
      <w:bookmarkEnd w:id="9"/>
      <w:r>
        <w:rPr>
          <w:rFonts w:ascii="宋体" w:hAnsi="宋体" w:cs="仿宋_GB2312" w:hint="eastAsia" w:eastAsia="仿宋_GB2312"/>
          <w:color w:val="000000"/>
          <w:sz w:val="32"/>
          <w:szCs w:val="32"/>
        </w:rPr>
        <w:t>）河流型水源取水口上游不小于</w:t>
      </w:r>
      <w:r>
        <w:rPr>
          <w:rFonts w:eastAsia="仿宋_GB2312" w:cs="仿宋_GB2312" w:hint="eastAsia" w:ascii="宋体" w:hAnsi="宋体"/>
          <w:color w:val="000000"/>
          <w:sz w:val="32"/>
          <w:szCs w:val="32"/>
        </w:rPr>
        <w:t>1000</w:t>
      </w:r>
      <w:r>
        <w:rPr>
          <w:rFonts w:ascii="宋体" w:hAnsi="宋体" w:cs="仿宋_GB2312" w:hint="eastAsia" w:eastAsia="仿宋_GB2312"/>
          <w:color w:val="000000"/>
          <w:sz w:val="32"/>
          <w:szCs w:val="32"/>
        </w:rPr>
        <w:t>米，下游不小于</w:t>
      </w:r>
      <w:r>
        <w:rPr>
          <w:rFonts w:eastAsia="仿宋_GB2312" w:cs="仿宋_GB2312" w:hint="eastAsia" w:ascii="宋体" w:hAnsi="宋体"/>
          <w:color w:val="000000"/>
          <w:sz w:val="32"/>
          <w:szCs w:val="32"/>
        </w:rPr>
        <w:t>100</w:t>
      </w:r>
      <w:r>
        <w:rPr>
          <w:rFonts w:ascii="宋体" w:hAnsi="宋体" w:cs="仿宋_GB2312" w:hint="eastAsia" w:eastAsia="仿宋_GB2312"/>
          <w:color w:val="000000"/>
          <w:sz w:val="32"/>
          <w:szCs w:val="32"/>
        </w:rPr>
        <w:t>米，两岸陆域纵深不小于</w:t>
      </w:r>
      <w:r>
        <w:rPr>
          <w:rFonts w:eastAsia="仿宋_GB2312" w:cs="仿宋_GB2312" w:hint="eastAsia" w:ascii="宋体" w:hAnsi="宋体"/>
          <w:color w:val="000000"/>
          <w:sz w:val="32"/>
          <w:szCs w:val="32"/>
        </w:rPr>
        <w:t>50</w:t>
      </w:r>
      <w:r>
        <w:rPr>
          <w:rFonts w:ascii="宋体" w:hAnsi="宋体" w:cs="仿宋_GB2312" w:hint="eastAsia" w:eastAsia="仿宋_GB2312"/>
          <w:color w:val="000000"/>
          <w:sz w:val="32"/>
          <w:szCs w:val="32"/>
        </w:rPr>
        <w:t>米，但不超过集雨范围；</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（二）湖库型水源以</w:t>
      </w:r>
      <w:r>
        <w:rPr>
          <w:rFonts w:ascii="宋体" w:hAnsi="宋体" w:cs="仿宋_GB2312" w:hint="eastAsia" w:eastAsia="仿宋_GB2312"/>
          <w:color w:val="000000"/>
          <w:sz w:val="32"/>
          <w:szCs w:val="32"/>
          <w:shd w:fill="FFFFFF" w:val="clear"/>
        </w:rPr>
        <w:t>取水口为中心、半径不小于</w:t>
      </w:r>
      <w:r>
        <w:rPr>
          <w:rFonts w:eastAsia="仿宋_GB2312" w:cs="仿宋_GB2312" w:hint="eastAsia" w:ascii="宋体" w:hAnsi="宋体"/>
          <w:color w:val="000000"/>
          <w:sz w:val="32"/>
          <w:szCs w:val="32"/>
        </w:rPr>
        <w:t>200</w:t>
      </w:r>
      <w:r>
        <w:rPr>
          <w:rFonts w:ascii="宋体" w:hAnsi="宋体" w:cs="仿宋_GB2312" w:hint="eastAsia" w:eastAsia="仿宋_GB2312"/>
          <w:color w:val="000000"/>
          <w:sz w:val="32"/>
          <w:szCs w:val="32"/>
        </w:rPr>
        <w:t>米范围的区域，但不超过集雨范围；</w:t>
      </w:r>
    </w:p>
    <w:p>
      <w:pPr>
        <w:pStyle w:val="Normal"/>
        <w:keepNext w:val="false"/>
        <w:keepLines w:val="false"/>
        <w:pageBreakBefore w:val="false"/>
        <w:kinsoku w:val="true"/>
        <w:overflowPunct w:val="true"/>
        <w:autoSpaceDE w:val="true"/>
        <w:bidi w:val="0"/>
        <w:spacing w:lineRule="exact" w:line="590"/>
        <w:ind w:firstLine="60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（三）地下水型水源为取水口周边不小于</w:t>
      </w:r>
      <w:r>
        <w:rPr>
          <w:rFonts w:eastAsia="仿宋_GB2312" w:cs="仿宋_GB2312" w:hint="eastAsia" w:ascii="宋体" w:hAnsi="宋体"/>
          <w:color w:val="000000"/>
          <w:sz w:val="32"/>
          <w:szCs w:val="32"/>
        </w:rPr>
        <w:t>30</w:t>
      </w:r>
      <w:r>
        <w:rPr>
          <w:rFonts w:ascii="宋体" w:hAnsi="宋体" w:cs="仿宋_GB2312" w:hint="eastAsia" w:eastAsia="仿宋_GB2312"/>
          <w:color w:val="000000"/>
          <w:sz w:val="32"/>
          <w:szCs w:val="32"/>
        </w:rPr>
        <w:t>米范围。</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第十二条  </w:t>
      </w:r>
      <w:r>
        <w:rPr>
          <w:rFonts w:ascii="宋体" w:hAnsi="宋体" w:cs="仿宋_GB2312" w:hint="eastAsia" w:eastAsia="仿宋_GB2312"/>
          <w:color w:val="000000"/>
          <w:sz w:val="32"/>
          <w:szCs w:val="32"/>
        </w:rPr>
        <w:t>农村分散式饮用水水源保护范围的划定，由镇</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乡</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人民政府、街道办事处组织有关部门和专家论证提出方案，征求村民委员会、村民小组和村民的意见，报县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人民政府批准并公告。</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由于公共利益、水质水量发生变化，确需调整农村饮用水水源保护范围的，按照前款规定的程序办理。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因农村分散式饮用水水源保护范围的划定或者调整，对公民、法人、非法人组织的合法权益造成损害的，由县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人民政府依法给予补偿。</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strike/>
          <w:color w:val="000000"/>
          <w:sz w:val="32"/>
          <w:szCs w:val="32"/>
        </w:rPr>
      </w:pPr>
      <w:r>
        <w:rPr>
          <w:rFonts w:ascii="宋体" w:hAnsi="宋体" w:cs="黑体" w:hint="eastAsia" w:eastAsia="黑体"/>
          <w:color w:val="000000"/>
          <w:sz w:val="32"/>
          <w:szCs w:val="32"/>
        </w:rPr>
        <w:t xml:space="preserve">第十三条  </w:t>
      </w:r>
      <w:r>
        <w:rPr>
          <w:rFonts w:ascii="宋体" w:hAnsi="宋体" w:cs="仿宋_GB2312" w:hint="eastAsia" w:eastAsia="仿宋_GB2312"/>
          <w:color w:val="000000"/>
          <w:sz w:val="32"/>
          <w:szCs w:val="32"/>
        </w:rPr>
        <w:t>镇</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乡</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人民政府、街道办事处应当设立明确的农村饮用水水源保护区（范围）界碑、界桩和明显的警示标志，根据保护需要设置隔离防护设施，或者种植具有界碑功能的灌木、荆棘等饮用水</w:t>
      </w:r>
      <w:r>
        <w:rPr>
          <w:rFonts w:ascii="宋体" w:hAnsi="宋体" w:cs="仿宋_GB2312" w:hint="eastAsia" w:eastAsia="仿宋"/>
          <w:color w:val="000000"/>
          <w:sz w:val="32"/>
          <w:szCs w:val="32"/>
        </w:rPr>
        <w:t>水</w:t>
      </w:r>
      <w:r>
        <w:rPr>
          <w:rFonts w:ascii="宋体" w:hAnsi="宋体" w:cs="仿宋_GB2312" w:hint="eastAsia" w:eastAsia="仿宋_GB2312"/>
          <w:color w:val="000000"/>
          <w:sz w:val="32"/>
          <w:szCs w:val="32"/>
        </w:rPr>
        <w:t>源涵养植物围蔽取水口。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任何单位和个人不得拆除、覆盖、擅自移动、涂改和损坏界碑、界桩、警示标志和隔离防护等农村饮用水水源保护设施，不得破坏灌木、荆棘等围蔽取水口隔离带植物。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第十四条 </w:t>
      </w:r>
      <w:r>
        <w:rPr>
          <w:rFonts w:ascii="宋体" w:hAnsi="宋体" w:cs="仿宋_GB2312" w:hint="eastAsia" w:eastAsia="仿宋_GB2312"/>
          <w:color w:val="000000"/>
          <w:sz w:val="32"/>
          <w:szCs w:val="32"/>
        </w:rPr>
        <w:t xml:space="preserve"> </w:t>
      </w:r>
      <w:r>
        <w:rPr>
          <w:rFonts w:ascii="宋体" w:hAnsi="宋体" w:cs="仿宋_GB2312" w:hint="eastAsia" w:eastAsia="仿宋_GB2312"/>
          <w:i w:val="false"/>
          <w:iCs w:val="false"/>
          <w:color w:val="000000"/>
          <w:sz w:val="32"/>
          <w:szCs w:val="32"/>
          <w:u w:val="none"/>
        </w:rPr>
        <w:t>任何单位和个人</w:t>
      </w:r>
      <w:r>
        <w:rPr>
          <w:rFonts w:ascii="宋体" w:hAnsi="宋体" w:cs="仿宋_GB2312" w:hint="eastAsia" w:eastAsia="仿宋_GB2312"/>
          <w:color w:val="000000"/>
          <w:sz w:val="32"/>
          <w:szCs w:val="32"/>
        </w:rPr>
        <w:t>引水、截</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蓄</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水不得损害公共利益和他人的合法权益，不得影响饮用水水源安全。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宋体" w:hint="eastAsia"/>
          <w:strike w:val="false"/>
          <w:dstrike w:val="false"/>
          <w:color w:val="FF0000"/>
          <w:sz w:val="32"/>
          <w:szCs w:val="32"/>
        </w:rPr>
      </w:pPr>
      <w:r>
        <w:rPr>
          <w:rFonts w:ascii="宋体" w:hAnsi="宋体" w:cs="黑体" w:hint="eastAsia" w:eastAsia="黑体"/>
          <w:color w:val="000000"/>
          <w:sz w:val="32"/>
          <w:szCs w:val="32"/>
        </w:rPr>
        <w:t xml:space="preserve">第十五条  </w:t>
      </w:r>
      <w:r>
        <w:rPr>
          <w:rFonts w:ascii="宋体" w:hAnsi="宋体" w:cs="仿宋_GB2312" w:hint="eastAsia" w:eastAsia="仿宋_GB2312"/>
          <w:color w:val="000000"/>
          <w:sz w:val="32"/>
          <w:szCs w:val="32"/>
        </w:rPr>
        <w:t>已划定保护区的农村集中式饮用水水源保护按照《中华人民共和国水污染防治法》和《广东省水污染防治条例》规定执行，其中水源保护区与自然保护区重叠的，重叠区域的水源保护同时执行《中华人民共和国自然保护区条例》的规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第十六条  </w:t>
      </w:r>
      <w:r>
        <w:rPr>
          <w:rFonts w:ascii="宋体" w:hAnsi="宋体" w:cs="仿宋_GB2312" w:hint="eastAsia" w:eastAsia="仿宋_GB2312"/>
          <w:color w:val="000000"/>
          <w:sz w:val="32"/>
          <w:szCs w:val="32"/>
        </w:rPr>
        <w:t>农村分散式饮用水水源保护范围内，禁止下列行为：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bookmarkStart w:id="10" w:name="_Hlk45360582"/>
      <w:r>
        <w:rPr>
          <w:rFonts w:ascii="宋体" w:hAnsi="宋体" w:cs="仿宋_GB2312" w:hint="eastAsia" w:eastAsia="仿宋_GB2312"/>
          <w:color w:val="000000"/>
          <w:sz w:val="32"/>
          <w:szCs w:val="32"/>
        </w:rPr>
        <w:t>（一）新建、改建、扩建排放污染物的建设项目；</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（二）从事畜禽养殖业；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（三）设立有毒、有害化学物品储存场所或者堆放丢弃医疗废弃物、电池、电瓶等有毒有害类垃圾；</w:t>
      </w:r>
      <w:r>
        <w:rPr>
          <w:rFonts w:ascii="宋体" w:hAnsi="宋体" w:cs="仿宋_GB2312" w:eastAsia="仿宋_GB2312"/>
          <w:color w:val="000000"/>
          <w:sz w:val="32"/>
          <w:szCs w:val="32"/>
        </w:rPr>
        <w:t xml:space="preserve"> </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（四）使用高毒高残留农药；</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（五）栽种桉树等不利于水源涵养的树种或者破坏植被和非更新性砍伐；</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（六）新建墓地；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（七）电鱼、炸鱼、毒鱼等；</w:t>
      </w:r>
      <w:bookmarkEnd w:id="10"/>
      <w:r>
        <w:rPr>
          <w:rFonts w:ascii="宋体" w:hAnsi="宋体" w:cs="仿宋_GB2312" w:eastAsia="仿宋_GB2312"/>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（八）采石、取土、采砂；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（九）法律、法规规定的其他污染或者破坏饮用水水源的行为。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第十七条  </w:t>
      </w:r>
      <w:r>
        <w:rPr>
          <w:rFonts w:ascii="宋体" w:hAnsi="宋体" w:cs="仿宋_GB2312" w:hint="eastAsia" w:eastAsia="仿宋_GB2312"/>
          <w:color w:val="000000"/>
          <w:sz w:val="32"/>
          <w:szCs w:val="32"/>
        </w:rPr>
        <w:t>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人民政府应当建立农村饮用水水源保护跨行政区域的协商机制。农村饮用水水源保护范围跨</w:t>
      </w:r>
      <w:bookmarkStart w:id="11" w:name="_Hlk69378029"/>
      <w:r>
        <w:rPr>
          <w:rFonts w:ascii="宋体" w:hAnsi="宋体" w:cs="仿宋_GB2312" w:hint="eastAsia" w:eastAsia="仿宋_GB2312"/>
          <w:color w:val="000000"/>
          <w:sz w:val="32"/>
          <w:szCs w:val="32"/>
        </w:rPr>
        <w:t>县</w:t>
      </w:r>
      <w:bookmarkEnd w:id="11"/>
      <w:r>
        <w:rPr>
          <w:rFonts w:ascii="宋体" w:hAnsi="宋体" w:cs="仿宋_GB2312" w:hint="eastAsia" w:eastAsia="仿宋_GB2312"/>
          <w:color w:val="000000"/>
          <w:sz w:val="32"/>
          <w:szCs w:val="32"/>
        </w:rPr>
        <w:t>级行政区域的，由相关县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人民政府协</w:t>
      </w:r>
      <w:bookmarkStart w:id="12" w:name="_Hlk69378061"/>
      <w:r>
        <w:rPr>
          <w:rFonts w:ascii="宋体" w:hAnsi="宋体" w:cs="仿宋_GB2312" w:hint="eastAsia" w:eastAsia="仿宋_GB2312"/>
          <w:color w:val="000000"/>
          <w:sz w:val="32"/>
          <w:szCs w:val="32"/>
        </w:rPr>
        <w:t>商</w:t>
      </w:r>
      <w:bookmarkEnd w:id="12"/>
      <w:r>
        <w:rPr>
          <w:rFonts w:ascii="宋体" w:hAnsi="宋体" w:cs="仿宋_GB2312" w:hint="eastAsia" w:eastAsia="仿宋_GB2312"/>
          <w:color w:val="000000"/>
          <w:sz w:val="32"/>
          <w:szCs w:val="32"/>
        </w:rPr>
        <w:t>；协商不成的，由市人民政府负责协调。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color w:val="000000"/>
          <w:sz w:val="32"/>
          <w:szCs w:val="21"/>
        </w:rPr>
      </w:pPr>
      <w:bookmarkStart w:id="13" w:name="_Hlk46042510"/>
      <w:r>
        <w:rPr>
          <w:rFonts w:ascii="宋体" w:hAnsi="宋体" w:cs="黑体" w:hint="eastAsia" w:eastAsia="黑体"/>
          <w:color w:val="000000"/>
          <w:sz w:val="32"/>
          <w:szCs w:val="32"/>
        </w:rPr>
        <w:t xml:space="preserve">第十八条  </w:t>
      </w:r>
      <w:r>
        <w:rPr>
          <w:rFonts w:ascii="宋体" w:hAnsi="宋体" w:cs="仿宋_GB2312" w:hint="eastAsia" w:eastAsia="仿宋_GB2312"/>
          <w:color w:val="000000"/>
          <w:sz w:val="32"/>
          <w:szCs w:val="32"/>
        </w:rPr>
        <w:t>鼓励村民对未列入名录管理的原用水井、山泉等可作为备用的农村饮用水水源及其周边环境进行保护。</w:t>
      </w:r>
      <w:bookmarkEnd w:id="13"/>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宋体" w:hAnsi="宋体" w:eastAsia="黑体" w:cs="黑体" w:hint="eastAsia"/>
          <w:color w:val="000000"/>
          <w:sz w:val="32"/>
          <w:szCs w:val="32"/>
        </w:rPr>
      </w:pPr>
      <w:r>
        <w:rPr>
          <w:rFonts w:eastAsia="黑体" w:cs="黑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宋体" w:hAnsi="宋体" w:eastAsia="黑体" w:cs="黑体"/>
          <w:color w:val="000000"/>
          <w:sz w:val="32"/>
          <w:szCs w:val="32"/>
        </w:rPr>
      </w:pPr>
      <w:r>
        <w:rPr>
          <w:rFonts w:ascii="宋体" w:hAnsi="宋体" w:cs="黑体" w:hint="eastAsia" w:eastAsia="黑体"/>
          <w:color w:val="000000"/>
          <w:sz w:val="32"/>
          <w:szCs w:val="32"/>
        </w:rPr>
        <w:t>第三章　</w:t>
      </w:r>
      <w:r>
        <w:rPr>
          <w:rFonts w:ascii="宋体" w:hAnsi="宋体" w:cs="黑体" w:hint="eastAsia" w:eastAsia="黑体"/>
          <w:b w:val="false"/>
          <w:bCs w:val="false"/>
          <w:color w:val="000000"/>
          <w:sz w:val="32"/>
          <w:szCs w:val="32"/>
        </w:rPr>
        <w:t>保障</w:t>
      </w:r>
      <w:r>
        <w:rPr>
          <w:rFonts w:ascii="宋体" w:hAnsi="宋体" w:cs="黑体" w:hint="eastAsia" w:eastAsia="黑体"/>
          <w:color w:val="000000"/>
          <w:sz w:val="32"/>
          <w:szCs w:val="32"/>
        </w:rPr>
        <w:t>与管理</w:t>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宋体" w:hAnsi="宋体" w:eastAsia="仿宋_GB2312" w:cs="仿宋_GB2312"/>
          <w:color w:val="000000"/>
          <w:sz w:val="32"/>
          <w:szCs w:val="21"/>
        </w:rPr>
      </w:pPr>
      <w:r>
        <w:rPr>
          <w:rFonts w:eastAsia="仿宋_GB2312" w:cs="仿宋_GB2312" w:ascii="宋体" w:hAnsi="宋体"/>
          <w:color w:val="000000"/>
          <w:sz w:val="32"/>
          <w:szCs w:val="21"/>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2"/>
          <w:sz w:val="32"/>
          <w:szCs w:val="32"/>
        </w:rPr>
      </w:pPr>
      <w:bookmarkStart w:id="14" w:name="_Hlk44836822"/>
      <w:r>
        <w:rPr>
          <w:rFonts w:ascii="宋体" w:hAnsi="宋体" w:cs="黑体" w:hint="eastAsia" w:eastAsia="黑体"/>
          <w:color w:val="000000"/>
          <w:sz w:val="32"/>
          <w:szCs w:val="32"/>
        </w:rPr>
        <w:t>第</w:t>
      </w:r>
      <w:r>
        <w:rPr>
          <w:rFonts w:ascii="宋体" w:hAnsi="宋体" w:cs="黑体" w:hint="eastAsia" w:eastAsia="黑体"/>
          <w:i w:val="false"/>
          <w:iCs w:val="false"/>
          <w:color w:val="000000"/>
          <w:sz w:val="32"/>
          <w:szCs w:val="32"/>
          <w:u w:val="none"/>
        </w:rPr>
        <w:t>十九</w:t>
      </w:r>
      <w:r>
        <w:rPr>
          <w:rFonts w:ascii="宋体" w:hAnsi="宋体" w:cs="黑体" w:hint="eastAsia" w:eastAsia="黑体"/>
          <w:color w:val="000000"/>
          <w:sz w:val="32"/>
          <w:szCs w:val="32"/>
        </w:rPr>
        <w:t xml:space="preserve">条 </w:t>
      </w:r>
      <w:r>
        <w:rPr>
          <w:rFonts w:ascii="宋体" w:hAnsi="宋体" w:cs="仿宋_GB2312" w:hint="eastAsia" w:eastAsia="仿宋_GB2312"/>
          <w:color w:val="000000"/>
          <w:kern w:val="2"/>
          <w:sz w:val="32"/>
          <w:szCs w:val="32"/>
        </w:rPr>
        <w:t xml:space="preserve"> 农村饮用水水源水质应当符合国家规定的标准。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第二十条  </w:t>
      </w: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人民政府应当加强农村饮用水水源水质监测监督管理，建立和依托大数据平台，实现农村饮用水水源水质监</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检</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测数据资源共享。</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人民政府应当加强农村饮用水基础设施建设和水源保护区（范围）内的生态环境综合整治，完善生活垃圾和生活污水处理设施以及配套管网的建设，防止污染农村饮用水水源，保障农村饮用水安全。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第二十</w:t>
      </w:r>
      <w:r>
        <w:rPr>
          <w:rFonts w:ascii="宋体" w:hAnsi="宋体" w:cs="黑体" w:hint="eastAsia" w:eastAsia="黑体"/>
          <w:i w:val="false"/>
          <w:iCs w:val="false"/>
          <w:color w:val="000000"/>
          <w:sz w:val="32"/>
          <w:szCs w:val="32"/>
          <w:u w:val="none"/>
        </w:rPr>
        <w:t>一</w:t>
      </w:r>
      <w:r>
        <w:rPr>
          <w:rFonts w:ascii="宋体" w:hAnsi="宋体" w:cs="黑体" w:hint="eastAsia" w:eastAsia="黑体"/>
          <w:color w:val="000000"/>
          <w:sz w:val="32"/>
          <w:szCs w:val="32"/>
        </w:rPr>
        <w:t xml:space="preserve">条  </w:t>
      </w: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人民政府生态环境主管部门应当制定农村集中式饮用水水源保护制度，并履行下列职责：</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（一）建立农村饮用水水源水质监测网络，对农村饮用水水源水质实施日常监测和监督管理；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（二）编制农村集中式饮用水水源水质年报，并及时向同级人民政府报告；</w:t>
      </w:r>
    </w:p>
    <w:p>
      <w:pPr>
        <w:pStyle w:val="Normal"/>
        <w:keepNext w:val="false"/>
        <w:keepLines w:val="false"/>
        <w:pageBreakBefore w:val="false"/>
        <w:kinsoku w:val="true"/>
        <w:overflowPunct w:val="true"/>
        <w:autoSpaceDE w:val="true"/>
        <w:bidi w:val="0"/>
        <w:spacing w:lineRule="exact" w:line="590"/>
        <w:ind w:firstLine="664"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（三）会同有关主管部门依法对饮用水水源水质污染事故及其他突发事件进行处理；</w:t>
      </w:r>
    </w:p>
    <w:p>
      <w:pPr>
        <w:pStyle w:val="Normal"/>
        <w:keepNext w:val="false"/>
        <w:keepLines w:val="false"/>
        <w:pageBreakBefore w:val="false"/>
        <w:kinsoku w:val="true"/>
        <w:overflowPunct w:val="true"/>
        <w:autoSpaceDE w:val="true"/>
        <w:bidi w:val="0"/>
        <w:spacing w:lineRule="exact" w:line="590"/>
        <w:ind w:firstLine="664"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（四）法律、法规规定的其他监督管理职责。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第二十二条  </w:t>
      </w: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人民政府水行政主管部门对农村饮用水水源管理应当履行下列职责：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（一）制定水资源利用规划，确定农村饮用水取水方案；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（二）调解农村饮用水水源利用纠纷；</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（三）法律、法规规定的其他监督管理职责。</w:t>
      </w:r>
    </w:p>
    <w:p>
      <w:pPr>
        <w:pStyle w:val="Normal"/>
        <w:keepNext w:val="false"/>
        <w:keepLines w:val="false"/>
        <w:pageBreakBefore w:val="false"/>
        <w:kinsoku w:val="true"/>
        <w:overflowPunct w:val="true"/>
        <w:autoSpaceDE w:val="true"/>
        <w:bidi w:val="0"/>
        <w:spacing w:lineRule="exact" w:line="590"/>
        <w:ind w:firstLine="664" w:end="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第二十三条  </w:t>
      </w: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人民政府农业农村主管部门对农村饮用水水源保护应当履行下列职责：</w:t>
      </w:r>
    </w:p>
    <w:p>
      <w:pPr>
        <w:pStyle w:val="Normal"/>
        <w:keepNext w:val="false"/>
        <w:keepLines w:val="false"/>
        <w:pageBreakBefore w:val="false"/>
        <w:kinsoku w:val="true"/>
        <w:overflowPunct w:val="true"/>
        <w:autoSpaceDE w:val="true"/>
        <w:bidi w:val="0"/>
        <w:spacing w:lineRule="exact" w:line="590"/>
        <w:ind w:firstLine="664" w:end="0"/>
        <w:textAlignment w:val="auto"/>
        <w:rPr>
          <w:rFonts w:ascii="宋体" w:hAnsi="宋体" w:eastAsia="仿宋_GB2312" w:cs="仿宋_GB2312"/>
          <w:color w:val="000000"/>
          <w:sz w:val="32"/>
          <w:szCs w:val="32"/>
        </w:rPr>
      </w:pPr>
      <w:r>
        <w:rPr>
          <w:rFonts w:ascii="宋体" w:hAnsi="宋体" w:cs="仿宋_GB2312" w:hint="eastAsia" w:eastAsia="仿宋_GB2312"/>
          <w:color w:val="000000"/>
          <w:sz w:val="32"/>
          <w:szCs w:val="32"/>
        </w:rPr>
        <w:t>（一）推广生态农业，指导农业生产者科学、合理地使用化肥、农药、农膜等，</w:t>
      </w:r>
      <w:r>
        <w:rPr>
          <w:rFonts w:ascii="宋体" w:hAnsi="宋体" w:cs="仿宋_GB2312" w:hint="eastAsia" w:eastAsia="仿宋_GB2312"/>
          <w:strike w:val="false"/>
          <w:dstrike w:val="false"/>
          <w:color w:val="000000"/>
          <w:sz w:val="32"/>
          <w:szCs w:val="32"/>
        </w:rPr>
        <w:t>指导畜禽养殖废弃物综合利用，</w:t>
      </w:r>
      <w:r>
        <w:rPr>
          <w:rFonts w:ascii="宋体" w:hAnsi="宋体" w:cs="仿宋_GB2312" w:hint="eastAsia" w:eastAsia="仿宋_GB2312"/>
          <w:color w:val="000000"/>
          <w:sz w:val="32"/>
          <w:szCs w:val="32"/>
        </w:rPr>
        <w:t>防止饮用水水源面源污染；</w:t>
      </w:r>
    </w:p>
    <w:p>
      <w:pPr>
        <w:pStyle w:val="Normal"/>
        <w:keepNext w:val="false"/>
        <w:keepLines w:val="false"/>
        <w:pageBreakBefore w:val="false"/>
        <w:kinsoku w:val="true"/>
        <w:overflowPunct w:val="true"/>
        <w:autoSpaceDE w:val="true"/>
        <w:bidi w:val="0"/>
        <w:spacing w:lineRule="exact" w:line="590"/>
        <w:ind w:firstLine="664" w:end="0"/>
        <w:textAlignment w:val="auto"/>
        <w:rPr>
          <w:rFonts w:ascii="宋体" w:hAnsi="宋体" w:eastAsia="仿宋_GB2312" w:cs="仿宋_GB2312" w:hint="eastAsia"/>
          <w:color w:val="000000"/>
          <w:sz w:val="32"/>
          <w:szCs w:val="32"/>
        </w:rPr>
      </w:pPr>
      <w:r>
        <w:rPr>
          <w:rFonts w:ascii="宋体" w:hAnsi="宋体" w:cs="仿宋_GB2312" w:hint="eastAsia" w:eastAsia="仿宋_GB2312"/>
          <w:color w:val="000000"/>
          <w:sz w:val="32"/>
          <w:szCs w:val="32"/>
        </w:rPr>
        <w:t>（二）</w:t>
      </w:r>
      <w:r>
        <w:rPr>
          <w:rFonts w:ascii="宋体" w:hAnsi="宋体" w:cs="仿宋_GB2312" w:hint="eastAsia" w:eastAsia="仿宋_GB2312"/>
          <w:color w:val="000000"/>
          <w:kern w:val="2"/>
          <w:sz w:val="32"/>
          <w:szCs w:val="32"/>
        </w:rPr>
        <w:t>监督管理</w:t>
      </w:r>
      <w:r>
        <w:rPr>
          <w:rFonts w:ascii="宋体" w:hAnsi="宋体" w:cs="仿宋_GB2312" w:hint="eastAsia" w:eastAsia="仿宋_GB2312"/>
          <w:color w:val="000000"/>
          <w:sz w:val="32"/>
          <w:szCs w:val="32"/>
        </w:rPr>
        <w:t>渔业船舶和水产养殖管控，减少水体污染；</w:t>
      </w:r>
    </w:p>
    <w:p>
      <w:pPr>
        <w:pStyle w:val="Normal"/>
        <w:keepNext w:val="false"/>
        <w:keepLines w:val="false"/>
        <w:pageBreakBefore w:val="false"/>
        <w:kinsoku w:val="true"/>
        <w:overflowPunct w:val="true"/>
        <w:autoSpaceDE w:val="true"/>
        <w:bidi w:val="0"/>
        <w:spacing w:lineRule="exact" w:line="590"/>
        <w:ind w:firstLine="664" w:end="0"/>
        <w:textAlignment w:val="auto"/>
        <w:rPr>
          <w:rFonts w:ascii="宋体" w:hAnsi="宋体" w:eastAsia="仿宋_GB2312" w:cs="宋体"/>
          <w:color w:val="000000"/>
          <w:sz w:val="32"/>
          <w:szCs w:val="32"/>
        </w:rPr>
      </w:pPr>
      <w:r>
        <w:rPr>
          <w:rFonts w:ascii="宋体" w:hAnsi="宋体" w:cs="仿宋_GB2312" w:hint="eastAsia" w:eastAsia="仿宋_GB2312"/>
          <w:color w:val="000000"/>
          <w:sz w:val="32"/>
          <w:szCs w:val="32"/>
        </w:rPr>
        <w:t>（三）法律、法规规定的其他监督管理职责。</w:t>
      </w:r>
    </w:p>
    <w:p>
      <w:pPr>
        <w:pStyle w:val="Normal"/>
        <w:keepNext w:val="false"/>
        <w:keepLines w:val="false"/>
        <w:pageBreakBefore w:val="false"/>
        <w:kinsoku w:val="true"/>
        <w:overflowPunct w:val="true"/>
        <w:autoSpaceDE w:val="true"/>
        <w:bidi w:val="0"/>
        <w:spacing w:lineRule="exact" w:line="590"/>
        <w:ind w:firstLine="664"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第二十四条  </w:t>
      </w: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人民政府卫生健康主管部门应当负责指导农村饮用水水质监测和卫生监督管理工作，定期向社会公布农村饮用水水质信息，配合有关部门做好农村饮用水水源污染事故应急处置。</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第二十五条  </w:t>
      </w:r>
      <w:r>
        <w:rPr>
          <w:rFonts w:ascii="宋体" w:hAnsi="宋体" w:cs="仿宋_GB2312" w:hint="eastAsia" w:eastAsia="仿宋_GB2312"/>
          <w:color w:val="000000"/>
          <w:sz w:val="32"/>
          <w:szCs w:val="32"/>
        </w:rPr>
        <w:t>镇</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乡</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人民政府、街道办事处应当建立农村饮用水水源保护区（范围）的巡查制度，定期检查水源保护情况，及时协调处理水源保护中出现的问题。</w:t>
      </w:r>
    </w:p>
    <w:p>
      <w:pPr>
        <w:pStyle w:val="Style15"/>
        <w:keepNext w:val="false"/>
        <w:keepLines w:val="false"/>
        <w:pageBreakBefore w:val="false"/>
        <w:kinsoku w:val="true"/>
        <w:overflowPunct w:val="true"/>
        <w:autoSpaceDE w:val="true"/>
        <w:bidi w:val="0"/>
        <w:spacing w:lineRule="exact" w:line="590"/>
        <w:textAlignment w:val="auto"/>
        <w:rPr>
          <w:rFonts w:ascii="宋体" w:hAnsi="宋体" w:eastAsia="仿宋_GB2312" w:cs="仿宋_GB2312" w:hint="eastAsia"/>
          <w:color w:val="000000"/>
          <w:kern w:val="2"/>
          <w:sz w:val="32"/>
          <w:szCs w:val="32"/>
        </w:rPr>
      </w:pPr>
      <w:r>
        <w:rPr>
          <w:rFonts w:cs="宋体" w:hint="eastAsia" w:ascii="宋体" w:hAnsi="宋体"/>
        </w:rPr>
        <w:t xml:space="preserve">  </w:t>
      </w:r>
      <w:r>
        <w:rPr>
          <w:rFonts w:ascii="宋体" w:hAnsi="宋体" w:cs="仿宋_GB2312" w:hint="eastAsia" w:eastAsia="仿宋_GB2312"/>
          <w:color w:val="000000"/>
          <w:kern w:val="2"/>
          <w:sz w:val="32"/>
          <w:szCs w:val="32"/>
        </w:rPr>
        <w:t>村民委员会或者村民小组应当严格执行农村饮用水水源保护区（范围）的巡查制度，定期巡查，及时上报存在的问题。同时积极配合当地人民政府卫生健康部门开展农村饮用水卫生监测工作。</w:t>
      </w:r>
    </w:p>
    <w:p>
      <w:pPr>
        <w:pStyle w:val="Style15"/>
        <w:keepNext w:val="false"/>
        <w:keepLines w:val="false"/>
        <w:pageBreakBefore w:val="false"/>
        <w:kinsoku w:val="true"/>
        <w:overflowPunct w:val="true"/>
        <w:autoSpaceDE w:val="true"/>
        <w:bidi w:val="0"/>
        <w:spacing w:lineRule="exact" w:line="590"/>
        <w:textAlignment w:val="auto"/>
        <w:rPr>
          <w:rFonts w:ascii="宋体" w:hAnsi="宋体" w:eastAsia="仿宋_GB2312" w:cs="仿宋_GB2312"/>
          <w:color w:val="000000"/>
          <w:sz w:val="32"/>
          <w:szCs w:val="32"/>
        </w:rPr>
      </w:pPr>
      <w:r>
        <w:rPr>
          <w:rFonts w:ascii="宋体" w:hAnsi="宋体" w:cs="黑体" w:hint="eastAsia" w:eastAsia="黑体"/>
          <w:color w:val="000000"/>
          <w:sz w:val="32"/>
          <w:szCs w:val="32"/>
        </w:rPr>
        <w:t xml:space="preserve">第二十六条  </w:t>
      </w:r>
      <w:r>
        <w:rPr>
          <w:rFonts w:ascii="宋体" w:hAnsi="宋体" w:cs="仿宋_GB2312" w:hint="eastAsia" w:eastAsia="仿宋_GB2312"/>
          <w:color w:val="000000"/>
          <w:sz w:val="32"/>
          <w:szCs w:val="32"/>
        </w:rPr>
        <w:t>农村饮用水供水企业应当做好取水口和出水口的水质日常检测工作，发现水质不符合相关标准的，应当及时采取相应措施，并向当地镇（乡）人民政府、街道办事处报告。</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第二十七条  </w:t>
      </w:r>
      <w:r>
        <w:rPr>
          <w:rFonts w:ascii="宋体" w:hAnsi="宋体" w:cs="仿宋_GB2312" w:hint="eastAsia" w:eastAsia="仿宋_GB2312"/>
          <w:color w:val="000000"/>
          <w:sz w:val="32"/>
          <w:szCs w:val="32"/>
        </w:rPr>
        <w:t>市、县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人民政府、镇</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乡</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人民政府、街道办事处应当制定农村饮用水水源污染事故处置应急预案，并定期组织供水企业、村民委员会、村民小组等有关人员演练。</w:t>
      </w:r>
      <w:bookmarkEnd w:id="14"/>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sz w:val="32"/>
          <w:szCs w:val="32"/>
        </w:rPr>
      </w:pPr>
      <w:r>
        <w:rPr>
          <w:rFonts w:ascii="宋体" w:hAnsi="宋体" w:cs="黑体" w:hint="eastAsia" w:eastAsia="黑体"/>
          <w:color w:val="000000"/>
          <w:sz w:val="32"/>
          <w:szCs w:val="32"/>
        </w:rPr>
        <w:t xml:space="preserve">第二十八条  </w:t>
      </w:r>
      <w:r>
        <w:rPr>
          <w:rFonts w:ascii="宋体" w:hAnsi="宋体" w:cs="仿宋_GB2312" w:hint="eastAsia" w:eastAsia="仿宋_GB2312"/>
          <w:color w:val="000000"/>
          <w:sz w:val="32"/>
          <w:szCs w:val="32"/>
        </w:rPr>
        <w:t>农村饮用水水源保护区（范围）内河（湖）长，应当在各自职责范围内，具体负责组织领导农村饮用水水源保护、水域岸线管理、水污染防治、水环境治理等工作。</w:t>
      </w:r>
    </w:p>
    <w:p>
      <w:pPr>
        <w:pStyle w:val="Style15"/>
        <w:rPr>
          <w:rFonts w:ascii="宋体" w:hAnsi="宋体" w:eastAsia="仿宋_GB2312" w:cs="仿宋_GB2312" w:hint="eastAsia"/>
          <w:color w:val="000000"/>
          <w:sz w:val="32"/>
          <w:szCs w:val="32"/>
        </w:rPr>
      </w:pPr>
      <w:r>
        <w:rPr>
          <w:rFonts w:eastAsia="仿宋_GB2312" w:cs="仿宋_GB2312" w:hint="eastAsia" w:ascii="宋体" w:hAnsi="宋体"/>
          <w:color w:val="000000"/>
          <w:sz w:val="32"/>
          <w:szCs w:val="32"/>
        </w:rPr>
      </w:r>
    </w:p>
    <w:p>
      <w:pPr>
        <w:pStyle w:val="Normal"/>
        <w:keepNext w:val="false"/>
        <w:keepLines w:val="false"/>
        <w:pageBreakBefore w:val="false"/>
        <w:numPr>
          <w:ilvl w:val="0"/>
          <w:numId w:val="1"/>
        </w:numPr>
        <w:kinsoku w:val="true"/>
        <w:overflowPunct w:val="true"/>
        <w:autoSpaceDE w:val="true"/>
        <w:bidi w:val="0"/>
        <w:spacing w:lineRule="exact" w:line="590"/>
        <w:jc w:val="center"/>
        <w:textAlignment w:val="auto"/>
        <w:rPr>
          <w:rFonts w:ascii="宋体" w:hAnsi="宋体" w:eastAsia="黑体" w:cs="黑体" w:hint="eastAsia"/>
          <w:color w:val="000000"/>
          <w:sz w:val="32"/>
          <w:szCs w:val="32"/>
        </w:rPr>
      </w:pPr>
      <w:r>
        <w:rPr>
          <w:rFonts w:ascii="宋体" w:hAnsi="宋体" w:cs="黑体" w:hint="eastAsia" w:eastAsia="黑体"/>
          <w:color w:val="000000"/>
          <w:sz w:val="32"/>
          <w:szCs w:val="32"/>
        </w:rPr>
        <w:t>法律责任</w:t>
      </w:r>
      <w:bookmarkStart w:id="15" w:name="_Hlk43737232"/>
    </w:p>
    <w:p>
      <w:pPr>
        <w:pStyle w:val="Style15"/>
        <w:keepNext w:val="false"/>
        <w:keepLines w:val="false"/>
        <w:pageBreakBefore w:val="false"/>
        <w:numPr>
          <w:ilvl w:val="0"/>
          <w:numId w:val="0"/>
        </w:numPr>
        <w:kinsoku w:val="true"/>
        <w:overflowPunct w:val="true"/>
        <w:autoSpaceDE w:val="true"/>
        <w:bidi w:val="0"/>
        <w:spacing w:lineRule="exact" w:line="590"/>
        <w:ind w:hangingChars="0" w:hanging="0" w:start="0"/>
        <w:textAlignment w:val="auto"/>
        <w:rPr>
          <w:rFonts w:ascii="宋体" w:hAnsi="宋体" w:eastAsia="黑体" w:cs="宋体" w:hint="eastAsia"/>
          <w:color w:val="000000"/>
          <w:sz w:val="32"/>
          <w:szCs w:val="32"/>
        </w:rPr>
      </w:pPr>
      <w:r>
        <w:rPr>
          <w:rFonts w:eastAsia="黑体" w:cs="宋体" w:hint="eastAsia" w:ascii="宋体" w:hAnsi="宋体"/>
          <w:color w:val="000000"/>
          <w:sz w:val="32"/>
          <w:szCs w:val="32"/>
        </w:rPr>
      </w:r>
    </w:p>
    <w:p>
      <w:pPr>
        <w:pStyle w:val="NewNewNewNewNew"/>
        <w:keepNext w:val="false"/>
        <w:keepLines w:val="false"/>
        <w:pageBreakBefore w:val="false"/>
        <w:widowControl/>
        <w:kinsoku w:val="true"/>
        <w:overflowPunct w:val="true"/>
        <w:autoSpaceDE w:val="true"/>
        <w:bidi w:val="0"/>
        <w:snapToGrid w:val="false"/>
        <w:spacing w:lineRule="exact" w:line="590"/>
        <w:ind w:firstLineChars="200" w:startChars="0" w:start="0" w:endChars="0" w:end="0"/>
        <w:textAlignment w:val="auto"/>
        <w:rPr>
          <w:rFonts w:ascii="宋体" w:hAnsi="宋体" w:eastAsia="黑体" w:cs="黑体" w:hint="eastAsia"/>
          <w:color w:val="000000"/>
          <w:kern w:val="0"/>
          <w:sz w:val="32"/>
          <w:szCs w:val="32"/>
        </w:rPr>
      </w:pPr>
      <w:r>
        <w:rPr>
          <w:rFonts w:ascii="宋体" w:hAnsi="宋体" w:cs="黑体" w:hint="eastAsia" w:eastAsia="黑体"/>
          <w:color w:val="000000"/>
          <w:kern w:val="0"/>
          <w:sz w:val="32"/>
          <w:szCs w:val="32"/>
        </w:rPr>
        <w:t>第二十九条</w:t>
      </w:r>
      <w:bookmarkEnd w:id="15"/>
      <w:r>
        <w:rPr>
          <w:rFonts w:ascii="宋体" w:hAnsi="宋体" w:cs="黑体" w:hint="eastAsia" w:eastAsia="黑体"/>
          <w:color w:val="000000"/>
          <w:kern w:val="0"/>
          <w:sz w:val="32"/>
          <w:szCs w:val="32"/>
        </w:rPr>
        <w:t xml:space="preserve">  </w:t>
      </w:r>
      <w:r>
        <w:rPr>
          <w:rFonts w:ascii="宋体" w:hAnsi="宋体" w:cs="仿宋" w:hint="eastAsia" w:eastAsia="仿宋_GB2312"/>
          <w:color w:val="000000"/>
          <w:sz w:val="32"/>
          <w:szCs w:val="32"/>
        </w:rPr>
        <w:t>各级人民政府及有关主管部门</w:t>
      </w:r>
      <w:r>
        <w:rPr>
          <w:rFonts w:ascii="宋体" w:hAnsi="宋体" w:cs="仿宋" w:hint="eastAsia" w:eastAsia="仿宋_GB2312"/>
          <w:color w:val="000000"/>
          <w:kern w:val="0"/>
          <w:sz w:val="32"/>
          <w:szCs w:val="32"/>
        </w:rPr>
        <w:t>违反本条例规定，不履行或者不正确履行农村饮用水水源保护职责的，对</w:t>
      </w:r>
      <w:r>
        <w:rPr>
          <w:rFonts w:ascii="宋体" w:hAnsi="宋体" w:cs="仿宋" w:hint="eastAsia" w:eastAsia="仿宋_GB2312"/>
          <w:color w:val="000000"/>
          <w:sz w:val="32"/>
          <w:szCs w:val="32"/>
        </w:rPr>
        <w:t>直接负责的主管人员和其他直接责任人员</w:t>
      </w:r>
      <w:r>
        <w:rPr>
          <w:rFonts w:ascii="宋体" w:hAnsi="宋体" w:cs="仿宋" w:hint="eastAsia" w:eastAsia="仿宋_GB2312"/>
          <w:color w:val="000000"/>
          <w:kern w:val="0"/>
          <w:sz w:val="32"/>
          <w:szCs w:val="32"/>
        </w:rPr>
        <w:t>依法给予处分；构成犯罪的，依法追究刑事责任。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仿宋_GB2312" w:hint="eastAsia"/>
          <w:i/>
          <w:iCs/>
          <w:color w:val="000000"/>
          <w:sz w:val="32"/>
          <w:szCs w:val="32"/>
          <w:u w:val="single"/>
        </w:rPr>
      </w:pPr>
      <w:r>
        <w:rPr>
          <w:rFonts w:ascii="宋体" w:hAnsi="宋体" w:cs="黑体" w:hint="eastAsia" w:eastAsia="黑体"/>
          <w:color w:val="000000"/>
          <w:sz w:val="32"/>
          <w:szCs w:val="32"/>
        </w:rPr>
        <w:t xml:space="preserve">第三十条  </w:t>
      </w:r>
      <w:r>
        <w:rPr>
          <w:rFonts w:ascii="宋体" w:hAnsi="宋体" w:cs="仿宋_GB2312" w:hint="eastAsia" w:eastAsia="仿宋_GB2312"/>
          <w:color w:val="000000"/>
          <w:sz w:val="32"/>
          <w:szCs w:val="32"/>
        </w:rPr>
        <w:t>违反本条例第十三条第二款规定，拆除、覆盖、擅自移动界碑、界桩、警示标志和隔离防护等农村饮用水水源保护设施的，由市人民政府生态环境主管部门或者县</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市、区</w:t>
      </w:r>
      <w:r>
        <w:rPr>
          <w:rFonts w:eastAsia="仿宋_GB2312" w:cs="仿宋_GB2312" w:hint="eastAsia" w:ascii="宋体" w:hAnsi="宋体"/>
          <w:color w:val="000000"/>
          <w:sz w:val="32"/>
          <w:szCs w:val="32"/>
        </w:rPr>
        <w:t>)</w:t>
      </w:r>
      <w:r>
        <w:rPr>
          <w:rFonts w:ascii="宋体" w:hAnsi="宋体" w:cs="仿宋_GB2312" w:hint="eastAsia" w:eastAsia="仿宋_GB2312"/>
          <w:color w:val="000000"/>
          <w:sz w:val="32"/>
          <w:szCs w:val="32"/>
        </w:rPr>
        <w:t>人民政府水行政主管部门根据职责分工，责令改正，处二千元以上一万元以下的罚款。</w:t>
      </w:r>
    </w:p>
    <w:p>
      <w:pPr>
        <w:pStyle w:val="NormalIndent1"/>
        <w:keepNext w:val="false"/>
        <w:keepLines w:val="false"/>
        <w:pageBreakBefore w:val="false"/>
        <w:widowControl w:val="false"/>
        <w:kinsoku w:val="true"/>
        <w:overflowPunct w:val="true"/>
        <w:autoSpaceDE w:val="true"/>
        <w:bidi w:val="0"/>
        <w:snapToGrid w:val="true"/>
        <w:spacing w:lineRule="exact" w:line="590"/>
        <w:textAlignment w:val="auto"/>
        <w:rPr>
          <w:rFonts w:ascii="宋体" w:hAnsi="宋体" w:eastAsia="仿宋_GB2312" w:cs="仿宋_GB2312"/>
          <w:color w:val="000000"/>
          <w:kern w:val="2"/>
          <w:sz w:val="28"/>
          <w:szCs w:val="28"/>
          <w:lang w:val="en"/>
        </w:rPr>
      </w:pPr>
      <w:r>
        <w:rPr>
          <w:rFonts w:ascii="宋体" w:hAnsi="宋体" w:cs="黑体" w:hint="eastAsia" w:eastAsia="黑体"/>
          <w:color w:val="000000"/>
          <w:sz w:val="32"/>
          <w:szCs w:val="32"/>
        </w:rPr>
        <w:t xml:space="preserve">第三十一条 </w:t>
      </w:r>
      <w:r>
        <w:rPr>
          <w:rFonts w:ascii="宋体" w:hAnsi="宋体" w:cs="黑体" w:eastAsia="黑体"/>
          <w:color w:val="000000"/>
          <w:sz w:val="32"/>
          <w:szCs w:val="32"/>
          <w:lang w:val="en"/>
        </w:rPr>
        <w:t xml:space="preserve"> </w:t>
      </w:r>
      <w:r>
        <w:rPr>
          <w:rFonts w:ascii="宋体" w:hAnsi="宋体" w:cs="仿宋_GB2312"/>
          <w:color w:val="000000"/>
          <w:kern w:val="2"/>
          <w:sz w:val="32"/>
          <w:szCs w:val="32"/>
          <w:lang w:val="en"/>
        </w:rPr>
        <w:t>违反本条例第</w:t>
      </w:r>
      <w:r>
        <w:rPr>
          <w:rFonts w:ascii="宋体" w:hAnsi="宋体" w:cs="仿宋_GB2312" w:hint="eastAsia"/>
          <w:color w:val="000000"/>
          <w:kern w:val="2"/>
          <w:sz w:val="32"/>
          <w:szCs w:val="32"/>
          <w:lang w:val="en"/>
        </w:rPr>
        <w:t>十六</w:t>
      </w:r>
      <w:r>
        <w:rPr>
          <w:rFonts w:ascii="宋体" w:hAnsi="宋体" w:cs="仿宋_GB2312"/>
          <w:color w:val="000000"/>
          <w:kern w:val="2"/>
          <w:sz w:val="32"/>
          <w:szCs w:val="32"/>
          <w:lang w:val="en"/>
        </w:rPr>
        <w:t>条规定，在农村</w:t>
      </w:r>
      <w:r>
        <w:rPr>
          <w:rFonts w:ascii="宋体" w:hAnsi="宋体" w:cs="仿宋_GB2312" w:hint="eastAsia"/>
          <w:color w:val="000000"/>
          <w:kern w:val="2"/>
          <w:sz w:val="32"/>
          <w:szCs w:val="32"/>
          <w:lang w:val="en"/>
        </w:rPr>
        <w:t>分散式</w:t>
      </w:r>
      <w:r>
        <w:rPr>
          <w:rFonts w:ascii="宋体" w:hAnsi="宋体" w:cs="仿宋_GB2312"/>
          <w:color w:val="000000"/>
          <w:kern w:val="2"/>
          <w:sz w:val="32"/>
          <w:szCs w:val="32"/>
          <w:lang w:val="en"/>
        </w:rPr>
        <w:t>饮用水水源保护范围内有下列行为的，按照下列规定处理：</w:t>
      </w:r>
    </w:p>
    <w:p>
      <w:pPr>
        <w:pStyle w:val="NormalIndent1"/>
        <w:keepNext w:val="false"/>
        <w:keepLines w:val="false"/>
        <w:pageBreakBefore w:val="false"/>
        <w:widowControl w:val="false"/>
        <w:numPr>
          <w:ilvl w:val="0"/>
          <w:numId w:val="2"/>
        </w:numPr>
        <w:kinsoku w:val="true"/>
        <w:overflowPunct w:val="true"/>
        <w:autoSpaceDE w:val="true"/>
        <w:bidi w:val="0"/>
        <w:snapToGrid w:val="true"/>
        <w:spacing w:lineRule="exact" w:line="590"/>
        <w:textAlignment w:val="auto"/>
        <w:rPr>
          <w:rFonts w:ascii="宋体" w:hAnsi="宋体" w:eastAsia="仿宋_GB2312" w:cs="仿宋_GB2312" w:hint="eastAsia"/>
          <w:color w:val="000000"/>
          <w:kern w:val="2"/>
          <w:sz w:val="32"/>
          <w:szCs w:val="32"/>
          <w:lang w:val="en"/>
        </w:rPr>
      </w:pPr>
      <w:r>
        <w:rPr>
          <w:rFonts w:ascii="宋体" w:hAnsi="宋体" w:cs="仿宋_GB2312"/>
          <w:color w:val="000000"/>
          <w:kern w:val="2"/>
          <w:sz w:val="32"/>
          <w:szCs w:val="32"/>
          <w:lang w:val="en"/>
        </w:rPr>
        <w:t>新建、改建、扩建排放污染物的建设项目</w:t>
      </w:r>
      <w:r>
        <w:rPr>
          <w:rFonts w:ascii="宋体" w:hAnsi="宋体" w:cs="仿宋_GB2312" w:hint="eastAsia"/>
          <w:color w:val="000000"/>
          <w:kern w:val="2"/>
          <w:sz w:val="32"/>
          <w:szCs w:val="32"/>
          <w:lang w:val="en"/>
        </w:rPr>
        <w:t>的，由县级以上人民政府生态环境主管部门责令停止违法行为，处十万元以上五十万元以下的罚款，并报经有批准权的人民政府批准，责令拆除或者关闭。</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hint="eastAsia"/>
          <w:color w:val="000000"/>
          <w:kern w:val="2"/>
          <w:sz w:val="32"/>
          <w:szCs w:val="32"/>
        </w:rPr>
      </w:pPr>
      <w:r>
        <w:rPr>
          <w:rFonts w:ascii="宋体" w:hAnsi="宋体" w:cs="仿宋_GB2312" w:hint="eastAsia" w:eastAsia="仿宋_GB2312"/>
          <w:color w:val="000000"/>
          <w:kern w:val="2"/>
          <w:sz w:val="32"/>
          <w:szCs w:val="32"/>
        </w:rPr>
        <w:t>设立有毒、有害化学物品储存场所的，由县级以上人民政府生态环境主管部门责令停止违法行为，处十万元以上一百万元以下的罚款，并报经有批准权的人民政府批准，责令拆除或者关闭。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hanging="0" w:start="0"/>
        <w:textAlignment w:val="auto"/>
        <w:rPr>
          <w:rFonts w:ascii="宋体" w:hAnsi="宋体" w:eastAsia="仿宋_GB2312" w:cs="仿宋_GB2312" w:hint="eastAsia"/>
          <w:color w:val="000000"/>
          <w:kern w:val="2"/>
          <w:sz w:val="32"/>
          <w:szCs w:val="32"/>
        </w:rPr>
      </w:pPr>
      <w:r>
        <w:rPr>
          <w:rFonts w:eastAsia="仿宋_GB2312" w:cs="仿宋_GB2312" w:hint="eastAsia" w:ascii="宋体" w:hAnsi="宋体"/>
          <w:color w:val="000000"/>
          <w:kern w:val="2"/>
          <w:sz w:val="32"/>
          <w:szCs w:val="32"/>
        </w:rPr>
        <w:t xml:space="preserve">    </w:t>
      </w:r>
      <w:r>
        <w:rPr>
          <w:rFonts w:ascii="宋体" w:hAnsi="宋体" w:cs="仿宋_GB2312" w:hint="eastAsia" w:eastAsia="仿宋_GB2312"/>
          <w:color w:val="000000"/>
          <w:kern w:val="2"/>
          <w:sz w:val="32"/>
          <w:szCs w:val="32"/>
        </w:rPr>
        <w:t>（三）堆放丢弃医疗废弃物、电池、电瓶等有毒有害类垃圾的，由县级以上人民政府生态环境主管部门责令限期采取治理措施，消除污染，并处二万元以上二十万元以下的罚款。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仿宋_GB2312"/>
          <w:color w:val="000000"/>
          <w:sz w:val="32"/>
          <w:szCs w:val="21"/>
        </w:rPr>
      </w:pPr>
      <w:r>
        <w:rPr>
          <w:rFonts w:ascii="宋体" w:hAnsi="宋体" w:cs="仿宋_GB2312" w:hint="eastAsia" w:eastAsia="仿宋_GB2312"/>
          <w:color w:val="000000"/>
          <w:kern w:val="2"/>
          <w:sz w:val="32"/>
          <w:szCs w:val="32"/>
        </w:rPr>
        <w:t>（四）</w:t>
      </w:r>
      <w:r>
        <w:rPr>
          <w:rFonts w:ascii="宋体" w:hAnsi="宋体" w:cs="仿宋_GB2312" w:eastAsia="仿宋_GB2312"/>
          <w:color w:val="000000"/>
          <w:kern w:val="2"/>
          <w:sz w:val="32"/>
          <w:szCs w:val="32"/>
        </w:rPr>
        <w:t>其他污染或者破坏饮用水水源的行为，按照相关法律法规</w:t>
      </w:r>
      <w:r>
        <w:rPr>
          <w:rFonts w:ascii="宋体" w:hAnsi="宋体" w:cs="仿宋_GB2312" w:hint="eastAsia" w:eastAsia="仿宋_GB2312"/>
          <w:color w:val="000000"/>
          <w:kern w:val="2"/>
          <w:sz w:val="32"/>
          <w:szCs w:val="32"/>
        </w:rPr>
        <w:t>规定处罚</w:t>
      </w:r>
      <w:r>
        <w:rPr>
          <w:rFonts w:ascii="宋体" w:hAnsi="宋体" w:cs="仿宋_GB2312" w:eastAsia="仿宋_GB2312"/>
          <w:color w:val="000000"/>
          <w:kern w:val="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hanging="0" w:start="0"/>
        <w:jc w:val="center"/>
        <w:textAlignment w:val="auto"/>
        <w:rPr>
          <w:rFonts w:ascii="宋体" w:hAnsi="宋体" w:eastAsia="黑体" w:cs="黑体" w:hint="eastAsia"/>
          <w:color w:val="000000"/>
          <w:sz w:val="32"/>
          <w:szCs w:val="32"/>
        </w:rPr>
      </w:pPr>
      <w:r>
        <w:rPr>
          <w:rFonts w:eastAsia="黑体" w:cs="黑体" w:hint="eastAsia" w:ascii="宋体" w:hAnsi="宋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hanging="0" w:start="0"/>
        <w:jc w:val="center"/>
        <w:textAlignment w:val="auto"/>
        <w:rPr>
          <w:rFonts w:ascii="宋体" w:hAnsi="宋体" w:eastAsia="仿宋_GB2312" w:cs="宋体"/>
          <w:sz w:val="32"/>
          <w:szCs w:val="32"/>
        </w:rPr>
      </w:pPr>
      <w:r>
        <w:rPr>
          <w:rFonts w:ascii="宋体" w:hAnsi="宋体" w:cs="黑体" w:hint="eastAsia" w:eastAsia="黑体"/>
          <w:color w:val="000000"/>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黑体" w:cs="黑体" w:hint="eastAsia"/>
          <w:color w:val="000000"/>
          <w:sz w:val="32"/>
          <w:szCs w:val="32"/>
        </w:rPr>
      </w:pPr>
      <w:r>
        <w:rPr>
          <w:rFonts w:eastAsia="黑体" w:cs="黑体" w:hint="eastAsia" w:ascii="宋体" w:hAnsi="宋体"/>
          <w:color w:val="000000"/>
          <w:sz w:val="32"/>
          <w:szCs w:val="32"/>
        </w:rPr>
      </w:r>
    </w:p>
    <w:p>
      <w:pPr>
        <w:pStyle w:val="Normal"/>
        <w:ind w:firstLineChars="200" w:startChars="0" w:start="0" w:endChars="0" w:end="0"/>
        <w:rPr/>
      </w:pPr>
      <w:r>
        <w:rPr>
          <w:rFonts w:ascii="宋体" w:hAnsi="宋体" w:cs="黑体" w:hint="eastAsia" w:eastAsia="黑体"/>
          <w:color w:val="000000"/>
          <w:sz w:val="32"/>
          <w:szCs w:val="32"/>
        </w:rPr>
        <w:t xml:space="preserve">第三十二条  </w:t>
      </w:r>
      <w:r>
        <w:rPr>
          <w:rFonts w:ascii="宋体" w:hAnsi="宋体" w:cs="仿宋_GB2312" w:hint="eastAsia" w:eastAsia="仿宋_GB2312"/>
          <w:color w:val="000000"/>
          <w:sz w:val="32"/>
          <w:szCs w:val="32"/>
        </w:rPr>
        <w:t>本条例自</w:t>
      </w:r>
      <w:r>
        <w:rPr>
          <w:rFonts w:eastAsia="仿宋_GB2312" w:cs="仿宋_GB2312" w:hint="eastAsia" w:ascii="宋体" w:hAnsi="宋体"/>
          <w:color w:val="000000"/>
          <w:sz w:val="32"/>
          <w:szCs w:val="32"/>
        </w:rPr>
        <w:t>2022</w:t>
      </w:r>
      <w:r>
        <w:rPr>
          <w:rFonts w:ascii="宋体" w:hAnsi="宋体" w:cs="仿宋_GB2312" w:hint="eastAsia" w:eastAsia="仿宋_GB2312"/>
          <w:color w:val="000000"/>
          <w:sz w:val="32"/>
          <w:szCs w:val="32"/>
        </w:rPr>
        <w:t>年</w:t>
      </w:r>
      <w:r>
        <w:rPr>
          <w:rFonts w:eastAsia="仿宋_GB2312" w:cs="仿宋_GB2312" w:hint="eastAsia" w:ascii="宋体" w:hAnsi="宋体"/>
          <w:color w:val="000000"/>
          <w:sz w:val="32"/>
          <w:szCs w:val="32"/>
        </w:rPr>
        <w:t>5</w:t>
      </w:r>
      <w:r>
        <w:rPr>
          <w:rFonts w:ascii="宋体" w:hAnsi="宋体" w:cs="仿宋_GB2312" w:hint="eastAsia" w:eastAsia="仿宋_GB2312"/>
          <w:color w:val="000000"/>
          <w:sz w:val="32"/>
          <w:szCs w:val="32"/>
        </w:rPr>
        <w:t>月</w:t>
      </w:r>
      <w:r>
        <w:rPr>
          <w:rFonts w:eastAsia="仿宋_GB2312" w:cs="仿宋_GB2312" w:hint="eastAsia" w:ascii="宋体" w:hAnsi="宋体"/>
          <w:color w:val="000000"/>
          <w:sz w:val="32"/>
          <w:szCs w:val="32"/>
        </w:rPr>
        <w:t>1</w:t>
      </w:r>
      <w:r>
        <w:rPr>
          <w:rFonts w:ascii="宋体" w:hAnsi="宋体" w:cs="仿宋_GB2312" w:hint="eastAsia" w:eastAsia="仿宋_GB2312"/>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等线">
    <w:altName w:val="楷体_GB2312"/>
    <w:charset w:val="00" w:characterSet="windows-1252"/>
    <w:family w:val="auto"/>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第%1章　"/>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1"/>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NewNewNewNewNew">
    <w:name w:val="正文 New New New New New"/>
    <w:qFormat/>
    <w:pPr>
      <w:widowControl w:val="false"/>
      <w:bidi w:val="0"/>
      <w:jc w:val="both"/>
    </w:pPr>
    <w:rPr>
      <w:rFonts w:ascii="Calibri" w:hAnsi="Calibri" w:eastAsia="宋体" w:cs="Calibri"/>
      <w:color w:val="auto"/>
      <w:kern w:val="2"/>
      <w:sz w:val="21"/>
      <w:szCs w:val="21"/>
      <w:lang w:bidi="ar-SA" w:val="en-US" w:eastAsia="zh-CN"/>
    </w:rPr>
  </w:style>
  <w:style w:type="paragraph" w:styleId="New">
    <w:name w:val="正文缩进 New"/>
    <w:qFormat/>
    <w:pPr>
      <w:widowControl w:val="false"/>
      <w:bidi w:val="0"/>
      <w:ind w:firstLineChars="200" w:startChars="0" w:start="0" w:endChars="0" w:end="0"/>
      <w:jc w:val="both"/>
    </w:pPr>
    <w:rPr>
      <w:rFonts w:ascii="等线;楷体_GB2312" w:hAnsi="等线;楷体_GB2312" w:eastAsia="仿宋_GB2312" w:cs="Times New Roman"/>
      <w:color w:val="auto"/>
      <w:kern w:val="2"/>
      <w:sz w:val="32"/>
      <w:szCs w:val="32"/>
      <w:lang w:bidi="ar-SA" w:val="en-US" w:eastAsia="zh-CN"/>
    </w:rPr>
  </w:style>
  <w:style w:type="paragraph" w:styleId="NewNewNew">
    <w:name w:val="正文 New New New"/>
    <w:next w:val="New"/>
    <w:qFormat/>
    <w:pPr>
      <w:widowControl w:val="false"/>
      <w:bidi w:val="0"/>
      <w:jc w:val="both"/>
    </w:pPr>
    <w:rPr>
      <w:rFonts w:ascii="等线;楷体_GB2312" w:hAnsi="等线;楷体_GB2312" w:eastAsia="仿宋_GB2312" w:cs="Times New Roman"/>
      <w:color w:val="auto"/>
      <w:kern w:val="2"/>
      <w:sz w:val="32"/>
      <w:szCs w:val="32"/>
      <w:lang w:bidi="ar-SA" w:val="en-US" w:eastAsia="zh-CN"/>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ormalIndent1">
    <w:name w:val="Normal Indent1"/>
    <w:qFormat/>
    <w:pPr>
      <w:widowControl w:val="false"/>
      <w:bidi w:val="0"/>
      <w:ind w:firstLineChars="200" w:startChars="0" w:start="0" w:endChars="0" w:end="0"/>
      <w:jc w:val="both"/>
    </w:pPr>
    <w:rPr>
      <w:rFonts w:ascii="Calibri" w:hAnsi="Calibri" w:eastAsia="仿宋_GB2312" w:cs="Times New Roman"/>
      <w:color w:val="auto"/>
      <w:kern w:val="2"/>
      <w:sz w:val="32"/>
      <w:szCs w:val="32"/>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2022-01-26T12:31:41Z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