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60"/>
        <w:jc w:val="center"/>
        <w:outlineLvl w:val="1"/>
        <w:rPr>
          <w:rFonts w:ascii="宋体" w:hAnsi="宋体" w:cs="楷体_GB2312" w:hint="eastAsia"/>
          <w:b/>
          <w:w w:val="100"/>
          <w:sz w:val="44"/>
          <w:szCs w:val="44"/>
          <w:highlight w:val="none"/>
        </w:rPr>
      </w:pPr>
      <w:r>
        <w:rPr>
          <w:rFonts w:cs="楷体_GB2312" w:hint="eastAsia" w:ascii="宋体" w:hAnsi="宋体"/>
          <w:b/>
          <w:w w:val="100"/>
          <w:sz w:val="44"/>
          <w:szCs w:val="44"/>
        </w:rPr>
      </w:r>
    </w:p>
    <w:p>
      <w:pPr>
        <w:pStyle w:val="Normal"/>
        <w:numPr>
          <w:ilvl w:val="0"/>
          <w:numId w:val="0"/>
        </w:numPr>
        <w:spacing w:lineRule="exact" w:line="560"/>
        <w:jc w:val="center"/>
        <w:outlineLvl w:val="1"/>
        <w:rPr>
          <w:rFonts w:ascii="宋体" w:hAnsi="宋体" w:eastAsia="宋体" w:cs="楷体_GB2312" w:hint="eastAsia"/>
          <w:b/>
          <w:w w:val="100"/>
          <w:sz w:val="44"/>
          <w:szCs w:val="44"/>
          <w:highlight w:val="none"/>
        </w:rPr>
      </w:pPr>
      <w:r>
        <w:rPr>
          <w:rFonts w:ascii="宋体" w:hAnsi="宋体" w:cs="楷体_GB2312" w:hint="eastAsia"/>
          <w:b/>
          <w:w w:val="100"/>
          <w:sz w:val="44"/>
          <w:szCs w:val="44"/>
        </w:rPr>
        <w:t>深圳经济特区前海蛇口自由贸易试验片区条例</w:t>
      </w:r>
    </w:p>
    <w:p>
      <w:pPr>
        <w:pStyle w:val="Normal"/>
        <w:numPr>
          <w:ilvl w:val="0"/>
          <w:numId w:val="0"/>
        </w:numPr>
        <w:spacing w:lineRule="exact" w:line="560"/>
        <w:jc w:val="center"/>
        <w:outlineLvl w:val="1"/>
        <w:rPr>
          <w:rFonts w:ascii="楷体" w:hAnsi="楷体" w:eastAsia="楷体" w:cs="楷体" w:hint="eastAsia"/>
          <w:b/>
          <w:w w:val="100"/>
          <w:sz w:val="32"/>
          <w:szCs w:val="32"/>
          <w:highlight w:val="none"/>
        </w:rPr>
      </w:pPr>
      <w:r>
        <w:rPr>
          <w:rFonts w:eastAsia="楷体" w:cs="楷体" w:hint="eastAsia" w:ascii="楷体" w:hAnsi="楷体"/>
          <w:b/>
          <w:w w:val="100"/>
          <w:sz w:val="32"/>
          <w:szCs w:val="32"/>
        </w:rPr>
      </w:r>
    </w:p>
    <w:p>
      <w:pPr>
        <w:pStyle w:val="BodyText"/>
        <w:jc w:val="center"/>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w:t>
      </w:r>
      <w:r>
        <w:rPr>
          <w:rFonts w:eastAsia="楷体_GB2312" w:cs="楷体_GB2312" w:hint="eastAsia" w:ascii="楷体_GB2312" w:hAnsi="楷体_GB2312"/>
          <w:w w:val="100"/>
          <w:sz w:val="32"/>
          <w:szCs w:val="32"/>
        </w:rPr>
        <w:t>2020</w:t>
      </w:r>
      <w:r>
        <w:rPr>
          <w:rFonts w:ascii="楷体_GB2312" w:hAnsi="楷体_GB2312" w:cs="楷体_GB2312" w:hint="eastAsia" w:eastAsia="楷体_GB2312"/>
          <w:w w:val="100"/>
          <w:sz w:val="32"/>
          <w:szCs w:val="32"/>
        </w:rPr>
        <w:t>年</w:t>
      </w:r>
      <w:r>
        <w:rPr>
          <w:rFonts w:eastAsia="楷体_GB2312" w:cs="楷体_GB2312" w:hint="eastAsia" w:ascii="楷体_GB2312" w:hAnsi="楷体_GB2312"/>
          <w:w w:val="100"/>
          <w:sz w:val="32"/>
          <w:szCs w:val="32"/>
        </w:rPr>
        <w:t>8</w:t>
      </w:r>
      <w:r>
        <w:rPr>
          <w:rFonts w:ascii="楷体_GB2312" w:hAnsi="楷体_GB2312" w:cs="楷体_GB2312" w:hint="eastAsia" w:eastAsia="楷体_GB2312"/>
          <w:w w:val="100"/>
          <w:sz w:val="32"/>
          <w:szCs w:val="32"/>
        </w:rPr>
        <w:t>月</w:t>
      </w:r>
      <w:r>
        <w:rPr>
          <w:rFonts w:eastAsia="楷体_GB2312" w:cs="楷体_GB2312" w:hint="eastAsia" w:ascii="楷体_GB2312" w:hAnsi="楷体_GB2312"/>
          <w:w w:val="100"/>
          <w:sz w:val="32"/>
          <w:szCs w:val="32"/>
        </w:rPr>
        <w:t>26</w:t>
      </w:r>
      <w:r>
        <w:rPr>
          <w:rFonts w:ascii="楷体_GB2312" w:hAnsi="楷体_GB2312" w:cs="楷体_GB2312" w:hint="eastAsia" w:eastAsia="楷体_GB2312"/>
          <w:w w:val="100"/>
          <w:sz w:val="32"/>
          <w:szCs w:val="32"/>
        </w:rPr>
        <w:t>日深圳市第六届人民代表大会常务委员会</w:t>
      </w:r>
    </w:p>
    <w:p>
      <w:pPr>
        <w:pStyle w:val="BodyText"/>
        <w:jc w:val="center"/>
        <w:rPr>
          <w:rFonts w:ascii="楷体_GB2312" w:hAnsi="楷体_GB2312" w:eastAsia="楷体_GB2312" w:cs="楷体_GB2312" w:hint="eastAsia"/>
        </w:rPr>
      </w:pPr>
      <w:r>
        <w:rPr>
          <w:rFonts w:ascii="楷体_GB2312" w:hAnsi="楷体_GB2312" w:cs="楷体_GB2312" w:hint="eastAsia" w:eastAsia="楷体_GB2312"/>
          <w:w w:val="100"/>
          <w:sz w:val="32"/>
          <w:szCs w:val="32"/>
        </w:rPr>
        <w:t>第四十四次会议通过）</w:t>
      </w:r>
    </w:p>
    <w:p>
      <w:pPr>
        <w:pStyle w:val="Normal"/>
        <w:spacing w:lineRule="exact" w:line="560" w:before="219" w:after="0"/>
        <w:jc w:val="center"/>
        <w:rPr>
          <w:rFonts w:ascii="楷体_GB2312" w:hAnsi="楷体_GB2312" w:eastAsia="楷体_GB2312" w:cs="楷体_GB2312" w:hint="eastAsia"/>
          <w:w w:val="100"/>
          <w:sz w:val="32"/>
          <w:szCs w:val="32"/>
          <w:highlight w:val="none"/>
        </w:rPr>
      </w:pPr>
      <w:r>
        <w:rPr>
          <w:rFonts w:eastAsia="楷体_GB2312" w:cs="楷体_GB2312" w:hint="eastAsia" w:ascii="楷体_GB2312" w:hAnsi="楷体_GB2312"/>
          <w:w w:val="100"/>
          <w:sz w:val="32"/>
          <w:szCs w:val="32"/>
        </w:rPr>
      </w:r>
    </w:p>
    <w:p>
      <w:pPr>
        <w:pStyle w:val="Normal"/>
        <w:spacing w:lineRule="exact" w:line="560" w:before="219" w:after="0"/>
        <w:jc w:val="center"/>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目 录</w:t>
      </w:r>
    </w:p>
    <w:p>
      <w:pPr>
        <w:pStyle w:val="Normal"/>
        <w:spacing w:lineRule="exact" w:line="560"/>
        <w:ind w:firstLineChars="200" w:startChars="0" w:start="0" w:endChars="0" w:end="0"/>
        <w:jc w:val="start"/>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第一章 总则</w:t>
      </w:r>
    </w:p>
    <w:p>
      <w:pPr>
        <w:pStyle w:val="Normal"/>
        <w:spacing w:lineRule="exact" w:line="560"/>
        <w:ind w:firstLineChars="200" w:startChars="0" w:start="0" w:endChars="0" w:end="0"/>
        <w:jc w:val="start"/>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第二章 管理体制</w:t>
      </w:r>
    </w:p>
    <w:p>
      <w:pPr>
        <w:pStyle w:val="Normal"/>
        <w:spacing w:lineRule="exact" w:line="560"/>
        <w:ind w:firstLineChars="200" w:startChars="0" w:start="0" w:endChars="0" w:end="0"/>
        <w:jc w:val="start"/>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第三章 投资开放</w:t>
      </w:r>
    </w:p>
    <w:p>
      <w:pPr>
        <w:pStyle w:val="Normal"/>
        <w:spacing w:lineRule="exact" w:line="560"/>
        <w:ind w:firstLineChars="200" w:startChars="0" w:start="0" w:endChars="0" w:end="0"/>
        <w:jc w:val="start"/>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第四章 贸易自由化</w:t>
      </w:r>
    </w:p>
    <w:p>
      <w:pPr>
        <w:pStyle w:val="Normal"/>
        <w:spacing w:lineRule="exact" w:line="560"/>
        <w:ind w:firstLineChars="200" w:startChars="0" w:start="0" w:endChars="0" w:end="0"/>
        <w:jc w:val="start"/>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第五章 金融开放与创新</w:t>
      </w:r>
    </w:p>
    <w:p>
      <w:pPr>
        <w:pStyle w:val="Normal"/>
        <w:spacing w:lineRule="exact" w:line="560"/>
        <w:ind w:firstLineChars="200" w:startChars="0" w:start="0" w:endChars="0" w:end="0"/>
        <w:jc w:val="start"/>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第六章 监管与服务</w:t>
      </w:r>
    </w:p>
    <w:p>
      <w:pPr>
        <w:pStyle w:val="Normal"/>
        <w:spacing w:lineRule="exact" w:line="560"/>
        <w:ind w:firstLineChars="200" w:startChars="0" w:start="0" w:endChars="0" w:end="0"/>
        <w:jc w:val="start"/>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第七章 法治环境</w:t>
      </w:r>
    </w:p>
    <w:p>
      <w:pPr>
        <w:pStyle w:val="Normal"/>
        <w:spacing w:lineRule="exact" w:line="560"/>
        <w:ind w:firstLineChars="200" w:startChars="0" w:start="0" w:endChars="0" w:end="0"/>
        <w:jc w:val="start"/>
        <w:rPr>
          <w:rFonts w:ascii="楷体_GB2312" w:hAnsi="楷体_GB2312" w:eastAsia="楷体_GB2312" w:cs="楷体_GB2312" w:hint="eastAsia"/>
          <w:w w:val="100"/>
          <w:sz w:val="32"/>
          <w:szCs w:val="32"/>
          <w:highlight w:val="none"/>
        </w:rPr>
      </w:pPr>
      <w:r>
        <w:rPr>
          <w:rFonts w:ascii="楷体_GB2312" w:hAnsi="楷体_GB2312" w:cs="楷体_GB2312" w:hint="eastAsia" w:eastAsia="楷体_GB2312"/>
          <w:w w:val="100"/>
          <w:sz w:val="32"/>
          <w:szCs w:val="32"/>
        </w:rPr>
        <w:t>第八章 附则</w:t>
      </w:r>
    </w:p>
    <w:p>
      <w:pPr>
        <w:pStyle w:val="Normal"/>
        <w:numPr>
          <w:ilvl w:val="0"/>
          <w:numId w:val="0"/>
        </w:numPr>
        <w:spacing w:lineRule="exact" w:line="560"/>
        <w:jc w:val="center"/>
        <w:outlineLvl w:val="1"/>
        <w:rPr>
          <w:rFonts w:ascii="方正小标宋_GBK" w:hAnsi="方正小标宋_GBK" w:eastAsia="方正小标宋_GBK" w:cs="楷体_GB2312" w:hint="eastAsia"/>
          <w:w w:val="100"/>
          <w:sz w:val="44"/>
          <w:szCs w:val="44"/>
          <w:highlight w:val="none"/>
        </w:rPr>
      </w:pPr>
      <w:r>
        <w:rPr>
          <w:rFonts w:eastAsia="方正小标宋_GBK" w:cs="楷体_GB2312" w:hint="eastAsia" w:ascii="方正小标宋_GBK" w:hAnsi="方正小标宋_GBK"/>
          <w:w w:val="100"/>
          <w:sz w:val="44"/>
          <w:szCs w:val="44"/>
        </w:rPr>
      </w:r>
    </w:p>
    <w:p>
      <w:pPr>
        <w:pStyle w:val="Normal"/>
        <w:spacing w:lineRule="exact" w:line="560"/>
        <w:jc w:val="center"/>
        <w:rPr>
          <w:rFonts w:ascii="黑体" w:hAnsi="黑体" w:eastAsia="黑体" w:cs="宋体"/>
          <w:bCs/>
          <w:w w:val="100"/>
          <w:sz w:val="32"/>
          <w:szCs w:val="32"/>
          <w:highlight w:val="none"/>
        </w:rPr>
      </w:pPr>
      <w:r>
        <w:rPr>
          <w:rFonts w:ascii="黑体" w:hAnsi="黑体" w:cs="宋体" w:hint="eastAsia" w:eastAsia="黑体"/>
          <w:bCs/>
          <w:w w:val="100"/>
          <w:sz w:val="32"/>
          <w:szCs w:val="32"/>
        </w:rPr>
        <w:t>第一章  总  则</w:t>
      </w:r>
    </w:p>
    <w:p>
      <w:pPr>
        <w:pStyle w:val="Normal"/>
        <w:spacing w:lineRule="exact" w:line="560"/>
        <w:jc w:val="center"/>
        <w:rPr>
          <w:rFonts w:ascii="黑体" w:hAnsi="黑体" w:eastAsia="黑体" w:cs="宋体"/>
          <w:bCs/>
          <w:w w:val="100"/>
          <w:sz w:val="32"/>
          <w:szCs w:val="32"/>
          <w:highlight w:val="none"/>
        </w:rPr>
      </w:pPr>
      <w:r>
        <w:rPr>
          <w:rFonts w:eastAsia="黑体" w:cs="宋体" w:ascii="黑体" w:hAnsi="黑体"/>
          <w:bCs/>
          <w:w w:val="100"/>
          <w:sz w:val="32"/>
          <w:szCs w:val="32"/>
        </w:rPr>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第一条  </w:t>
      </w:r>
      <w:r>
        <w:rPr>
          <w:rFonts w:ascii="仿宋_GB2312" w:hAnsi="仿宋_GB2312" w:cs="宋体" w:hint="eastAsia" w:eastAsia="仿宋_GB2312"/>
          <w:w w:val="100"/>
          <w:kern w:val="0"/>
          <w:sz w:val="32"/>
          <w:szCs w:val="32"/>
          <w:shd w:fill="FFFFFF" w:val="clear"/>
        </w:rPr>
        <w:t>为了推进中国（广东）自由贸易试验区深圳前海蛇口片区建设和发展，不断提高贸易投资自由化便利化水平</w:t>
      </w:r>
      <w:r>
        <w:rPr>
          <w:rFonts w:eastAsia="仿宋_GB2312" w:cs="宋体" w:hint="eastAsia" w:ascii="仿宋_GB2312" w:hAnsi="仿宋_GB2312"/>
          <w:w w:val="100"/>
          <w:kern w:val="0"/>
          <w:sz w:val="32"/>
          <w:szCs w:val="32"/>
          <w:shd w:fill="FFFFFF" w:val="clear"/>
        </w:rPr>
        <w:t>,</w:t>
      </w:r>
      <w:r>
        <w:rPr>
          <w:rFonts w:ascii="仿宋_GB2312" w:hAnsi="仿宋_GB2312" w:cs="宋体" w:hint="eastAsia" w:eastAsia="仿宋_GB2312"/>
          <w:w w:val="100"/>
          <w:kern w:val="0"/>
          <w:sz w:val="32"/>
          <w:szCs w:val="32"/>
          <w:shd w:fill="FFFFFF" w:val="clear"/>
        </w:rPr>
        <w:t>构建与开放型经济发展相适应的制度体系，推进粤港澳大湾区建设和深圳建设中国特色社会主义先行示范区，根据《粤港澳大湾区发展规划纲要》《中国（广东）自由贸易试验区条例》和有关法律、行政法规的基本原则，制定本条例。</w:t>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黑体" w:hint="eastAsia" w:eastAsia="黑体"/>
          <w:w w:val="100"/>
          <w:kern w:val="0"/>
          <w:sz w:val="32"/>
          <w:szCs w:val="32"/>
          <w:shd w:fill="FFFFFF" w:val="clear"/>
        </w:rPr>
        <w:t>第二条</w:t>
      </w:r>
      <w:r>
        <w:rPr>
          <w:rFonts w:ascii="仿宋_GB2312" w:hAnsi="仿宋_GB2312" w:cs="宋体" w:hint="eastAsia" w:eastAsia="仿宋_GB2312"/>
          <w:w w:val="100"/>
          <w:kern w:val="0"/>
          <w:sz w:val="32"/>
          <w:szCs w:val="32"/>
          <w:shd w:fill="FFFFFF" w:val="clear"/>
        </w:rPr>
        <w:t xml:space="preserve">  本条例适用于经国务院批准设立的中国（广东）自由贸易试验区深圳前海蛇口片区</w:t>
      </w:r>
      <w:r>
        <w:rPr>
          <w:rFonts w:ascii="仿宋_GB2312" w:hAnsi="仿宋_GB2312" w:cs="宋体" w:hint="eastAsia" w:eastAsia="仿宋_GB2312"/>
          <w:strike w:val="false"/>
          <w:dstrike w:val="false"/>
          <w:w w:val="100"/>
          <w:kern w:val="0"/>
          <w:sz w:val="32"/>
          <w:szCs w:val="32"/>
          <w:shd w:fill="FFFFFF" w:val="clear"/>
        </w:rPr>
        <w:t>和经国务院批准扩展的区域（</w:t>
      </w:r>
      <w:r>
        <w:rPr>
          <w:rFonts w:ascii="仿宋_GB2312" w:hAnsi="仿宋_GB2312" w:cs="宋体" w:hint="eastAsia" w:eastAsia="仿宋_GB2312"/>
          <w:w w:val="100"/>
          <w:kern w:val="0"/>
          <w:sz w:val="32"/>
          <w:szCs w:val="32"/>
          <w:shd w:fill="FFFFFF" w:val="clear"/>
        </w:rPr>
        <w:t>以下简称自贸片区）。</w:t>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第三条  </w:t>
      </w:r>
      <w:r>
        <w:rPr>
          <w:rFonts w:ascii="仿宋_GB2312" w:hAnsi="仿宋_GB2312" w:cs="宋体" w:hint="eastAsia" w:eastAsia="仿宋_GB2312"/>
          <w:w w:val="100"/>
          <w:kern w:val="0"/>
          <w:sz w:val="32"/>
          <w:szCs w:val="32"/>
          <w:shd w:fill="FFFFFF" w:val="clear"/>
        </w:rPr>
        <w:t>自贸片区应当以制度集成创新为核心，营造市场化、法治化、国际化营商环境，构建开放型经济新体制，助推粤港澳深度合作，建设成为投资贸易便利、辐射带动功能突出、监管安全高效、法治环境更优的新时代改革开放的新高地和具有国际影响力的高水平自由贸易试验片区。</w:t>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第四条  </w:t>
      </w:r>
      <w:bookmarkStart w:id="0" w:name="_Hlk521058998"/>
      <w:r>
        <w:rPr>
          <w:rFonts w:ascii="仿宋_GB2312" w:hAnsi="仿宋_GB2312" w:cs="宋体" w:hint="eastAsia" w:eastAsia="仿宋_GB2312"/>
          <w:w w:val="100"/>
          <w:kern w:val="0"/>
          <w:sz w:val="32"/>
          <w:szCs w:val="32"/>
          <w:shd w:fill="FFFFFF" w:val="clear"/>
        </w:rPr>
        <w:t>自贸片区的建设和发展应当坚持扩大开放、改革创新、促进自由贸易的原则。</w:t>
      </w:r>
    </w:p>
    <w:p>
      <w:pPr>
        <w:pStyle w:val="Normal"/>
        <w:spacing w:lineRule="exact" w:line="560"/>
        <w:rPr>
          <w:rFonts w:ascii="仿宋_GB2312" w:hAnsi="仿宋_GB2312" w:eastAsia="仿宋_GB2312" w:cs="宋体" w:hint="eastAsia"/>
          <w:bCs/>
          <w:w w:val="100"/>
          <w:kern w:val="0"/>
          <w:sz w:val="32"/>
          <w:szCs w:val="32"/>
          <w:highlight w:val="none"/>
          <w:shd w:fill="FFFFFF" w:val="clear"/>
        </w:rPr>
      </w:pPr>
      <w:r>
        <w:rPr>
          <w:rFonts w:eastAsia="仿宋_GB2312" w:cs="宋体" w:hint="eastAsia" w:ascii="仿宋_GB2312" w:hAnsi="仿宋_GB2312"/>
          <w:bCs/>
          <w:w w:val="100"/>
          <w:kern w:val="0"/>
          <w:sz w:val="32"/>
          <w:szCs w:val="32"/>
          <w:shd w:fill="FFFFFF" w:val="clear"/>
        </w:rPr>
      </w:r>
    </w:p>
    <w:p>
      <w:pPr>
        <w:pStyle w:val="Normal"/>
        <w:spacing w:lineRule="exact" w:line="560"/>
        <w:jc w:val="center"/>
        <w:rPr>
          <w:rFonts w:ascii="黑体" w:hAnsi="黑体" w:eastAsia="黑体" w:cs="宋体" w:hint="eastAsia"/>
          <w:bCs/>
          <w:w w:val="100"/>
          <w:sz w:val="32"/>
          <w:szCs w:val="32"/>
          <w:highlight w:val="none"/>
        </w:rPr>
      </w:pPr>
      <w:r>
        <w:rPr>
          <w:rFonts w:ascii="黑体" w:hAnsi="黑体" w:cs="宋体" w:hint="eastAsia" w:eastAsia="黑体"/>
          <w:bCs/>
          <w:w w:val="100"/>
          <w:sz w:val="32"/>
          <w:szCs w:val="32"/>
        </w:rPr>
        <w:t>第二章  管理体制</w:t>
      </w:r>
      <w:bookmarkEnd w:id="0"/>
    </w:p>
    <w:p>
      <w:pPr>
        <w:pStyle w:val="Normal"/>
        <w:spacing w:lineRule="exact" w:line="560"/>
        <w:jc w:val="center"/>
        <w:rPr>
          <w:rFonts w:ascii="仿宋_GB2312" w:hAnsi="仿宋_GB2312" w:eastAsia="仿宋_GB2312" w:cs="宋体" w:hint="eastAsia"/>
          <w:bCs/>
          <w:w w:val="100"/>
          <w:sz w:val="32"/>
          <w:szCs w:val="32"/>
          <w:highlight w:val="none"/>
        </w:rPr>
      </w:pPr>
      <w:r>
        <w:rPr>
          <w:rFonts w:eastAsia="仿宋_GB2312" w:cs="宋体" w:hint="eastAsia" w:ascii="仿宋_GB2312" w:hAnsi="仿宋_GB2312"/>
          <w:bCs/>
          <w:w w:val="100"/>
          <w:sz w:val="32"/>
          <w:szCs w:val="32"/>
        </w:rPr>
      </w:r>
    </w:p>
    <w:p>
      <w:pPr>
        <w:pStyle w:val="Norma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第五条  </w:t>
      </w:r>
      <w:r>
        <w:rPr>
          <w:rFonts w:ascii="仿宋_GB2312" w:hAnsi="仿宋_GB2312" w:cs="宋体" w:hint="eastAsia" w:eastAsia="仿宋_GB2312"/>
          <w:w w:val="100"/>
          <w:kern w:val="0"/>
          <w:sz w:val="32"/>
          <w:szCs w:val="32"/>
          <w:shd w:fill="FFFFFF" w:val="clear"/>
        </w:rPr>
        <w:t>自贸片区应当按照开放创新、简政放权、放管结合、优化服务的原则，建立权责一致、部门协作、运行高效、公开透明的管理体制。</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第六条 </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自贸片区管理委员会（以下简称管委会）为市人民政府的派出机构，履行下列职责：</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（一）统筹推进自贸片区发展改革和制度创新工作，制定、拟定并组织实施自贸片区发展规划和政策措施；</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（二）负责自贸片区</w:t>
      </w:r>
      <w:bookmarkStart w:id="1" w:name="_Hlk17276320"/>
      <w:r>
        <w:rPr>
          <w:rFonts w:ascii="仿宋_GB2312" w:hAnsi="仿宋_GB2312" w:cs="宋体" w:hint="eastAsia" w:eastAsia="仿宋_GB2312"/>
          <w:w w:val="100"/>
          <w:kern w:val="0"/>
          <w:sz w:val="32"/>
          <w:szCs w:val="32"/>
          <w:shd w:fill="FFFFFF" w:val="clear"/>
        </w:rPr>
        <w:t>投资、贸易、金融、人才、科技</w:t>
      </w:r>
      <w:bookmarkEnd w:id="1"/>
      <w:r>
        <w:rPr>
          <w:rFonts w:ascii="仿宋_GB2312" w:hAnsi="仿宋_GB2312" w:cs="宋体" w:hint="eastAsia" w:eastAsia="仿宋_GB2312"/>
          <w:w w:val="100"/>
          <w:kern w:val="0"/>
          <w:sz w:val="32"/>
          <w:szCs w:val="32"/>
          <w:shd w:fill="FFFFFF" w:val="clear"/>
        </w:rPr>
        <w:t>等有关行政管理和公共服务；</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（三）负责自贸片区规划、城市建设等具体事务，统筹推进自贸片区产业布局和重大投资项目的引进和建设管理；</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（四）协调税务、金融监管、海关、海事等部门在自贸片区的行政管理工作；</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（五）组织实施信用管理和监管信息共享工作；</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（六）依法履行国家安全审查、反垄断审查相关职责；</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（七）履行国务院、广东省人民政府、市人民政府赋予的其他职责。</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经市机构编制部门批准，管委会可以设立具有行政管理职能的工作部门，对外履行相关职责。</w:t>
      </w:r>
    </w:p>
    <w:p>
      <w:pPr>
        <w:pStyle w:val="Normal"/>
        <w:autoSpaceDE w:val="false"/>
        <w:spacing w:lineRule="exact" w:line="560"/>
        <w:ind w:firstLineChars="196" w:startChars="0" w:start="0" w:endChars="0" w:end="0"/>
        <w:rPr>
          <w:rFonts w:ascii="仿宋_GB2312" w:hAnsi="仿宋_GB2312" w:eastAsia="仿宋_GB2312" w:cs="宋体" w:hint="eastAsia"/>
          <w:strike w:val="false"/>
          <w:dstrike w:val="false"/>
          <w:w w:val="100"/>
          <w:kern w:val="0"/>
          <w:sz w:val="32"/>
          <w:szCs w:val="32"/>
          <w:highlight w:val="none"/>
          <w:shd w:fill="FFFFFF" w:val="clear"/>
        </w:rPr>
      </w:pPr>
      <w:r>
        <w:rPr>
          <w:rFonts w:ascii="仿宋_GB2312" w:hAnsi="仿宋_GB2312" w:cs="宋体" w:hint="eastAsia" w:eastAsia="仿宋_GB2312"/>
          <w:strike w:val="false"/>
          <w:dstrike w:val="false"/>
          <w:w w:val="100"/>
          <w:kern w:val="0"/>
          <w:sz w:val="32"/>
          <w:szCs w:val="32"/>
          <w:shd w:fill="FFFFFF" w:val="clear"/>
        </w:rPr>
        <w:t>自贸片区经国务院批准扩展区域范围的事权划分由市人民政府另行规定。</w:t>
      </w:r>
    </w:p>
    <w:p>
      <w:pPr>
        <w:pStyle w:val="Normal"/>
        <w:autoSpaceDE w:val="false"/>
        <w:spacing w:lineRule="exact" w:line="560"/>
        <w:ind w:firstLineChars="196" w:startChars="0" w:start="0" w:endChars="0" w:end="0"/>
        <w:rPr>
          <w:rFonts w:ascii="仿宋_GB2312" w:hAnsi="仿宋_GB2312" w:eastAsia="仿宋_GB2312" w:cs="宋体" w:hint="eastAsia"/>
          <w:bCs/>
          <w:w w:val="100"/>
          <w:sz w:val="32"/>
          <w:szCs w:val="32"/>
          <w:highlight w:val="none"/>
        </w:rPr>
      </w:pPr>
      <w:r>
        <w:rPr>
          <w:rFonts w:ascii="黑体" w:hAnsi="黑体" w:cs="宋体" w:hint="eastAsia" w:eastAsia="黑体"/>
          <w:bCs/>
          <w:w w:val="100"/>
          <w:sz w:val="32"/>
          <w:szCs w:val="32"/>
        </w:rPr>
        <w:t>第七条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市人民政府可以向管委会下放自贸片区发展需要的市级管理权限，并对下放权限的行使进行指导、协调、监督。</w:t>
      </w:r>
    </w:p>
    <w:p>
      <w:pPr>
        <w:pStyle w:val="Norma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第八条 </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市人民政府应当统筹研究自贸片区政策、发展规划，决定自贸片区发展重大问题，指导改革试点工作，协调与国家、广东省、港澳相关的自贸片区事务。</w:t>
      </w:r>
    </w:p>
    <w:p>
      <w:pPr>
        <w:pStyle w:val="Norma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市人民政府有关部门和辖区人民政府应当在各自职责范围内依法承担自贸片区行政管理职责。</w:t>
      </w:r>
    </w:p>
    <w:p>
      <w:pPr>
        <w:pStyle w:val="Normal"/>
        <w:widowControl/>
        <w:spacing w:lineRule="exact" w:line="560"/>
        <w:ind w:firstLineChars="200" w:startChars="0" w:start="0" w:endChars="0" w:end="0"/>
        <w:rPr>
          <w:rFonts w:ascii="仿宋_GB2312" w:hAnsi="仿宋_GB2312" w:eastAsia="仿宋_GB2312" w:cs="宋体" w:hint="eastAsia"/>
          <w:bCs/>
          <w:w w:val="100"/>
          <w:sz w:val="32"/>
          <w:szCs w:val="32"/>
          <w:highlight w:val="none"/>
          <w:shd w:fill="FFFFFF" w:val="clear"/>
        </w:rPr>
      </w:pPr>
      <w:r>
        <w:rPr>
          <w:rFonts w:ascii="黑体" w:hAnsi="黑体" w:cs="宋体" w:hint="eastAsia" w:eastAsia="黑体"/>
          <w:bCs/>
          <w:w w:val="100"/>
          <w:sz w:val="32"/>
          <w:szCs w:val="32"/>
        </w:rPr>
        <w:t xml:space="preserve">第九条 </w:t>
      </w:r>
      <w:r>
        <w:rPr>
          <w:rFonts w:ascii="仿宋_GB2312" w:hAnsi="仿宋_GB2312" w:cs="宋体" w:hint="eastAsia" w:eastAsia="仿宋_GB2312"/>
          <w:bCs/>
          <w:w w:val="100"/>
          <w:sz w:val="32"/>
          <w:szCs w:val="32"/>
          <w:shd w:fill="FFFFFF" w:val="clear"/>
        </w:rPr>
        <w:t xml:space="preserve"> 深圳市前海地方金融监督管理局在自贸片区行使市级地方金融监督管理职权，履行行政许可、行政处罚、行政强制、行政检查等相应职责，负责自贸片区地方金融管理领域的统筹、协调、统计、调查工作，可以制定相关先行先试的监管制度。</w:t>
      </w:r>
    </w:p>
    <w:p>
      <w:pPr>
        <w:pStyle w:val="Normal"/>
        <w:widowControl/>
        <w:spacing w:lineRule="exact" w:line="560"/>
        <w:ind w:firstLineChars="200" w:startChars="0" w:start="0" w:endChars="0" w:end="0"/>
        <w:rPr>
          <w:rFonts w:ascii="黑体" w:hAnsi="黑体" w:eastAsia="黑体" w:cs="宋体" w:hint="eastAsia"/>
          <w:bCs/>
          <w:w w:val="100"/>
          <w:sz w:val="32"/>
          <w:szCs w:val="32"/>
          <w:highlight w:val="none"/>
        </w:rPr>
      </w:pPr>
      <w:r>
        <w:rPr>
          <w:rFonts w:ascii="仿宋_GB2312" w:hAnsi="仿宋_GB2312" w:cs="宋体" w:hint="eastAsia" w:eastAsia="仿宋_GB2312"/>
          <w:bCs/>
          <w:w w:val="100"/>
          <w:sz w:val="32"/>
          <w:szCs w:val="32"/>
          <w:shd w:fill="FFFFFF" w:val="clear"/>
        </w:rPr>
        <w:t>深圳市前海地方金融监督管理局可以开展以合作监管与协调监管为支撑的金融综合监管试点，探索建设跨境金融创新监管区。</w:t>
      </w:r>
    </w:p>
    <w:p>
      <w:pPr>
        <w:pStyle w:val="Norma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第十条  </w:t>
      </w:r>
      <w:r>
        <w:rPr>
          <w:rFonts w:ascii="仿宋_GB2312" w:hAnsi="仿宋_GB2312" w:cs="宋体" w:hint="eastAsia" w:eastAsia="仿宋_GB2312"/>
          <w:w w:val="100"/>
          <w:kern w:val="0"/>
          <w:sz w:val="32"/>
          <w:szCs w:val="32"/>
          <w:shd w:fill="FFFFFF" w:val="clear"/>
        </w:rPr>
        <w:t>自贸片区综合行政执法机构行使商务、知识产权、市场监督管理、交通运输、生态环境保护、水务、劳动监察、文化（含新闻出版广播影视、版权）、城市管理、自然资源、安全生产等管理领域行政处罚、行政强制、行政检查等职权。</w:t>
      </w:r>
    </w:p>
    <w:p>
      <w:pPr>
        <w:pStyle w:val="Norma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第十一条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自贸片区廉政监督机构根据深圳市监察委员会的授权，对自贸片区开发、建设、运营和管理等活动履行监督职责。</w:t>
      </w:r>
    </w:p>
    <w:p>
      <w:pPr>
        <w:pStyle w:val="Norma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第十二条 </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税务、金融监管、海关、海事等部门在各自职责范围内依法支持自贸片区发展。</w:t>
      </w:r>
    </w:p>
    <w:p>
      <w:pPr>
        <w:pStyle w:val="Norma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建立国家金融监管部门驻深机构、市地方金融监管部门和</w:t>
      </w:r>
      <w:r>
        <w:rPr>
          <w:rFonts w:ascii="仿宋_GB2312" w:hAnsi="仿宋_GB2312" w:cs="宋体" w:hint="eastAsia" w:eastAsia="仿宋_GB2312"/>
          <w:bCs/>
          <w:w w:val="100"/>
          <w:sz w:val="32"/>
          <w:szCs w:val="32"/>
          <w:shd w:fill="FFFFFF" w:val="clear"/>
        </w:rPr>
        <w:t>深圳市前海地方金融监督管理局</w:t>
      </w:r>
      <w:r>
        <w:rPr>
          <w:rFonts w:ascii="仿宋_GB2312" w:hAnsi="仿宋_GB2312" w:cs="宋体" w:hint="eastAsia" w:eastAsia="仿宋_GB2312"/>
          <w:w w:val="100"/>
          <w:kern w:val="0"/>
          <w:sz w:val="32"/>
          <w:szCs w:val="32"/>
          <w:shd w:fill="FFFFFF" w:val="clear"/>
        </w:rPr>
        <w:t>参加的自贸片区金融监管工作协调机制。</w:t>
      </w:r>
    </w:p>
    <w:p>
      <w:pPr>
        <w:pStyle w:val="Normal"/>
        <w:spacing w:lineRule="exact" w:line="560"/>
        <w:ind w:firstLineChars="200" w:startChars="0" w:start="0" w:endChars="0" w:end="0"/>
        <w:jc w:val="start"/>
        <w:rPr>
          <w:rFonts w:ascii="仿宋_GB2312" w:hAnsi="仿宋_GB2312" w:eastAsia="仿宋_GB2312" w:cs="宋体" w:hint="eastAsia"/>
          <w:bCs/>
          <w:w w:val="100"/>
          <w:sz w:val="32"/>
          <w:szCs w:val="32"/>
          <w:highlight w:val="none"/>
        </w:rPr>
      </w:pPr>
      <w:r>
        <w:rPr>
          <w:rFonts w:ascii="黑体" w:hAnsi="黑体" w:cs="宋体" w:hint="eastAsia" w:eastAsia="黑体"/>
          <w:bCs/>
          <w:w w:val="100"/>
          <w:sz w:val="32"/>
          <w:szCs w:val="32"/>
        </w:rPr>
        <w:t>第十三条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建立政府、市场、社会共建共治共享的社会治理体系；鼓励各类社会组织依法参与自贸片区社会治理。</w:t>
      </w:r>
    </w:p>
    <w:p>
      <w:pPr>
        <w:pStyle w:val="Normal"/>
        <w:spacing w:lineRule="exact" w:line="560"/>
        <w:ind w:firstLineChars="200" w:startChars="0" w:start="0" w:endChars="0" w:end="0"/>
        <w:jc w:val="start"/>
        <w:rPr>
          <w:highlight w:val="none"/>
        </w:rPr>
      </w:pPr>
      <w:r>
        <w:rPr>
          <w:rFonts w:ascii="黑体" w:hAnsi="黑体" w:cs="宋体" w:hint="eastAsia" w:eastAsia="黑体"/>
          <w:bCs/>
          <w:w w:val="100"/>
          <w:sz w:val="32"/>
          <w:szCs w:val="32"/>
        </w:rPr>
        <w:t>第十四条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借鉴港澳行业管理机制，推动与港澳行业标准和管理规则相衔接，发挥行业协会、商会在制定技术标准、规范行业发展方面的作用，强化自贸片区行业自律管理。</w:t>
      </w:r>
    </w:p>
    <w:p>
      <w:pPr>
        <w:pStyle w:val="Norma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鼓励国际性产业和标准组织将住所设在自贸片区，取消其申请成立登记时业务主管单位的前置审批，简化注册流程，允许其在全球范围内吸纳会员，并参照《深圳经济特区行业协会条例》相关规定管理。</w:t>
      </w:r>
    </w:p>
    <w:p>
      <w:pPr>
        <w:pStyle w:val="Normal"/>
        <w:spacing w:lineRule="exact" w:line="560"/>
        <w:ind w:firstLineChars="200" w:startChars="0" w:start="0" w:endChars="0" w:end="0"/>
        <w:jc w:val="start"/>
        <w:rPr>
          <w:rFonts w:ascii="黑体" w:hAnsi="黑体" w:eastAsia="黑体" w:cs="宋体" w:hint="eastAsia"/>
          <w:bCs/>
          <w:w w:val="100"/>
          <w:kern w:val="0"/>
          <w:sz w:val="32"/>
          <w:szCs w:val="32"/>
          <w:highlight w:val="none"/>
          <w:shd w:fill="FFFFFF" w:val="clear"/>
        </w:rPr>
      </w:pPr>
      <w:r>
        <w:rPr>
          <w:rFonts w:eastAsia="黑体" w:cs="宋体" w:hint="eastAsia" w:ascii="黑体" w:hAnsi="黑体"/>
          <w:bCs/>
          <w:w w:val="100"/>
          <w:kern w:val="0"/>
          <w:sz w:val="32"/>
          <w:szCs w:val="32"/>
          <w:shd w:fill="FFFFFF" w:val="clear"/>
        </w:rPr>
      </w:r>
    </w:p>
    <w:p>
      <w:pPr>
        <w:pStyle w:val="Normal"/>
        <w:spacing w:lineRule="exact" w:line="560"/>
        <w:jc w:val="center"/>
        <w:rPr>
          <w:rFonts w:ascii="黑体" w:hAnsi="黑体" w:eastAsia="黑体" w:cs="宋体" w:hint="eastAsia"/>
          <w:bCs/>
          <w:w w:val="100"/>
          <w:sz w:val="32"/>
          <w:szCs w:val="32"/>
          <w:highlight w:val="none"/>
        </w:rPr>
      </w:pPr>
      <w:r>
        <w:rPr>
          <w:rFonts w:ascii="黑体" w:hAnsi="黑体" w:cs="宋体" w:hint="eastAsia" w:eastAsia="黑体"/>
          <w:bCs/>
          <w:w w:val="100"/>
          <w:sz w:val="32"/>
          <w:szCs w:val="32"/>
        </w:rPr>
        <w:t>第三章  投资开放</w:t>
      </w:r>
    </w:p>
    <w:p>
      <w:pPr>
        <w:pStyle w:val="Normal"/>
        <w:spacing w:lineRule="exact" w:line="560"/>
        <w:jc w:val="center"/>
        <w:rPr>
          <w:rFonts w:ascii="仿宋_GB2312" w:hAnsi="仿宋_GB2312" w:eastAsia="仿宋_GB2312" w:cs="宋体" w:hint="eastAsia"/>
          <w:bCs/>
          <w:w w:val="100"/>
          <w:sz w:val="32"/>
          <w:szCs w:val="32"/>
          <w:highlight w:val="none"/>
        </w:rPr>
      </w:pPr>
      <w:r>
        <w:rPr>
          <w:rFonts w:eastAsia="仿宋_GB2312" w:cs="宋体" w:hint="eastAsia" w:ascii="仿宋_GB2312" w:hAnsi="仿宋_GB2312"/>
          <w:bCs/>
          <w:w w:val="100"/>
          <w:sz w:val="32"/>
          <w:szCs w:val="32"/>
        </w:rPr>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bookmarkStart w:id="2" w:name="47"/>
      <w:bookmarkEnd w:id="2"/>
      <w:r>
        <w:rPr>
          <w:rFonts w:ascii="黑体" w:hAnsi="黑体" w:cs="宋体" w:hint="eastAsia" w:eastAsia="黑体"/>
          <w:bCs/>
          <w:w w:val="100"/>
          <w:sz w:val="32"/>
          <w:szCs w:val="32"/>
        </w:rPr>
        <w:t xml:space="preserve">第十五条  </w:t>
      </w:r>
      <w:r>
        <w:rPr>
          <w:rFonts w:ascii="仿宋_GB2312" w:hAnsi="仿宋_GB2312" w:cs="宋体" w:hint="eastAsia" w:eastAsia="仿宋_GB2312"/>
          <w:w w:val="100"/>
          <w:kern w:val="0"/>
          <w:sz w:val="32"/>
          <w:szCs w:val="32"/>
          <w:shd w:fill="FFFFFF" w:val="clear"/>
        </w:rPr>
        <w:t>除涉及国家安全、社会稳定、生态保护红线、重大公共利益等由国家实行准入管理的领域外，探索全面放开投资准入的制度安排。</w:t>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第十六条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实行外商投资准入前国民待遇、负面清单管理和非违规不干预的管理模式，探索实行外商投资试验性政策措施。</w:t>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逐步放宽或者取消境外投资者在金融、物流、信息服务、科技服务、文化服务、专业服务、医疗卫生等领域的资质要求、股权比例、经营范围等准入限制措施。</w:t>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第十七条  </w:t>
      </w:r>
      <w:r>
        <w:rPr>
          <w:rFonts w:ascii="仿宋_GB2312" w:hAnsi="仿宋_GB2312" w:cs="宋体" w:hint="eastAsia" w:eastAsia="仿宋_GB2312"/>
          <w:w w:val="100"/>
          <w:kern w:val="0"/>
          <w:sz w:val="32"/>
          <w:szCs w:val="32"/>
          <w:shd w:fill="FFFFFF" w:val="clear"/>
        </w:rPr>
        <w:t>落实内地与香港、澳门关于建立更紧密经贸关系的安排系列协议，探索取消港澳企业在自贸片区内投资的准入限制条件，推动对港澳跨境服务贸易负面清单管理，促进与港澳服务贸易全面自由化。</w:t>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黑体" w:hint="eastAsia" w:eastAsia="黑体"/>
          <w:w w:val="100"/>
          <w:kern w:val="0"/>
          <w:sz w:val="32"/>
          <w:szCs w:val="32"/>
          <w:shd w:fill="FFFFFF" w:val="clear"/>
        </w:rPr>
        <w:t>第十八条</w:t>
      </w:r>
      <w:r>
        <w:rPr>
          <w:rFonts w:ascii="仿宋_GB2312" w:hAnsi="仿宋_GB2312" w:cs="宋体" w:hint="eastAsia" w:eastAsia="仿宋_GB2312"/>
          <w:w w:val="100"/>
          <w:kern w:val="0"/>
          <w:sz w:val="32"/>
          <w:szCs w:val="32"/>
          <w:shd w:fill="FFFFFF" w:val="clear"/>
        </w:rPr>
        <w:t xml:space="preserve">  推动重点产业向自贸片区集聚；支持金融、物流、信息服务、科技服务、科技创新、文化创意等领域重大项目在自贸片区布局；鼓励社会资本有序参与自贸片区教育、医疗卫生和养老服务等产业的发展。</w:t>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鼓励境内外投资者在自贸片区设立多形态总部；支持跨国公司总部和国际组织总部落户自贸片区。</w:t>
      </w:r>
    </w:p>
    <w:p>
      <w:pPr>
        <w:pStyle w:val="Normal"/>
        <w:spacing w:lineRule="exact" w:line="560"/>
        <w:ind w:firstLineChars="200"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支持重点产业和总部经济的相关政策由管委会另行制定。</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第十九条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允许符合条件的港澳商事主体在自贸片区进行登记后，依法从事相关经营活动。具体办法由市人民政府另行制定。</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eastAsia="仿宋_GB2312" w:cs="宋体" w:hint="eastAsia" w:ascii="仿宋_GB2312" w:hAnsi="仿宋_GB2312"/>
          <w:w w:val="100"/>
          <w:kern w:val="0"/>
          <w:sz w:val="32"/>
          <w:szCs w:val="32"/>
          <w:shd w:fill="FFFFFF" w:val="clear"/>
        </w:rPr>
      </w:r>
    </w:p>
    <w:p>
      <w:pPr>
        <w:pStyle w:val="Normal"/>
        <w:spacing w:lineRule="exact" w:line="560"/>
        <w:jc w:val="center"/>
        <w:rPr>
          <w:rFonts w:ascii="黑体" w:hAnsi="黑体" w:eastAsia="黑体" w:cs="宋体" w:hint="eastAsia"/>
          <w:bCs/>
          <w:w w:val="100"/>
          <w:sz w:val="32"/>
          <w:szCs w:val="32"/>
          <w:highlight w:val="none"/>
        </w:rPr>
      </w:pPr>
      <w:r>
        <w:rPr>
          <w:rFonts w:ascii="黑体" w:hAnsi="黑体" w:cs="宋体" w:hint="eastAsia" w:eastAsia="黑体"/>
          <w:bCs/>
          <w:w w:val="100"/>
          <w:sz w:val="32"/>
          <w:szCs w:val="32"/>
        </w:rPr>
        <w:t>第四章  贸易自由化</w:t>
      </w:r>
    </w:p>
    <w:p>
      <w:pPr>
        <w:pStyle w:val="Normal"/>
        <w:spacing w:lineRule="exact" w:line="560"/>
        <w:jc w:val="center"/>
        <w:rPr>
          <w:rFonts w:ascii="仿宋_GB2312" w:hAnsi="仿宋_GB2312" w:eastAsia="仿宋_GB2312" w:cs="宋体" w:hint="eastAsia"/>
          <w:bCs/>
          <w:w w:val="100"/>
          <w:sz w:val="32"/>
          <w:szCs w:val="32"/>
          <w:highlight w:val="none"/>
        </w:rPr>
      </w:pPr>
      <w:r>
        <w:rPr>
          <w:rFonts w:eastAsia="仿宋_GB2312" w:cs="宋体" w:hint="eastAsia" w:ascii="仿宋_GB2312" w:hAnsi="仿宋_GB2312"/>
          <w:bCs/>
          <w:w w:val="100"/>
          <w:sz w:val="32"/>
          <w:szCs w:val="32"/>
        </w:rPr>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第二十条 </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探索实施开放透明、高效便利的</w:t>
      </w:r>
      <w:r>
        <w:rPr>
          <w:rFonts w:ascii="仿宋_GB2312" w:hAnsi="仿宋_GB2312" w:cs="仿宋_GB2312" w:hint="eastAsia" w:eastAsia="仿宋_GB2312"/>
          <w:w w:val="100"/>
          <w:kern w:val="0"/>
          <w:sz w:val="32"/>
          <w:szCs w:val="32"/>
          <w:shd w:fill="FFFFFF" w:val="clear"/>
        </w:rPr>
        <w:t>货物</w:t>
      </w:r>
      <w:r>
        <w:rPr>
          <w:rFonts w:ascii="仿宋_GB2312" w:hAnsi="仿宋_GB2312" w:cs="宋体" w:hint="eastAsia" w:eastAsia="仿宋_GB2312"/>
          <w:w w:val="100"/>
          <w:kern w:val="0"/>
          <w:sz w:val="32"/>
          <w:szCs w:val="32"/>
          <w:shd w:fill="FFFFFF" w:val="clear"/>
        </w:rPr>
        <w:t>进出境监管模式。</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推行海关特殊监管区域货物便利通关模式，对境外抵离物理围网区域的货物，实施以安全监管为主的贸易自由化便利化监管措施。</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推行</w:t>
      </w:r>
      <w:bookmarkStart w:id="3" w:name="_Hlk17125077"/>
      <w:r>
        <w:rPr>
          <w:rFonts w:ascii="仿宋_GB2312" w:hAnsi="仿宋_GB2312" w:cs="宋体" w:hint="eastAsia" w:eastAsia="仿宋_GB2312"/>
          <w:w w:val="100"/>
          <w:kern w:val="0"/>
          <w:sz w:val="32"/>
          <w:szCs w:val="32"/>
          <w:shd w:fill="FFFFFF" w:val="clear"/>
        </w:rPr>
        <w:t>数字化</w:t>
      </w:r>
      <w:bookmarkEnd w:id="3"/>
      <w:r>
        <w:rPr>
          <w:rFonts w:ascii="仿宋_GB2312" w:hAnsi="仿宋_GB2312" w:cs="宋体" w:hint="eastAsia" w:eastAsia="仿宋_GB2312"/>
          <w:w w:val="100"/>
          <w:kern w:val="0"/>
          <w:sz w:val="32"/>
          <w:szCs w:val="32"/>
          <w:shd w:fill="FFFFFF" w:val="clear"/>
        </w:rPr>
        <w:t>海关监管，以物联网、人工智能等先进技术提高通关监管效能。</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简化货物进出境监管手续，实现各监管部门一次登临、一次申报、一次查验、一次放行。</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第二十一条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拓展国际贸易单一窗口的跨境贸易特色功能，推动将国际贸易单一窗口拓展至技术贸易、服务外包、维修服务等服务贸易领域。</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建设数字化智慧口岸，以信息化建设推进自贸片区国际贸易“一站式”服务，加快具有国际竞争力的通关基础设施建设。</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第二十二条</w:t>
      </w:r>
      <w:r>
        <w:rPr>
          <w:rFonts w:ascii="仿宋_GB2312" w:hAnsi="仿宋_GB2312" w:cs="仿宋" w:hint="eastAsia" w:eastAsia="仿宋_GB2312"/>
          <w:w w:val="100"/>
          <w:sz w:val="32"/>
          <w:szCs w:val="32"/>
        </w:rPr>
        <w:t xml:space="preserve"> </w:t>
      </w:r>
      <w:r>
        <w:rPr>
          <w:rFonts w:ascii="仿宋_GB2312" w:hAnsi="仿宋_GB2312" w:cs="宋体" w:hint="eastAsia" w:eastAsia="仿宋_GB2312"/>
          <w:w w:val="100"/>
          <w:kern w:val="0"/>
          <w:sz w:val="32"/>
          <w:szCs w:val="32"/>
          <w:shd w:fill="FFFFFF" w:val="clear"/>
        </w:rPr>
        <w:t xml:space="preserve"> 创新跨境税收监管便利化措施，推动实施启运港退税、境外旅客购物离境退税、展会境外展品销售进口和销售免税政策，探索适应境外股权投资和离岸贸易发展的税收政策。</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第二十三条  </w:t>
      </w:r>
      <w:r>
        <w:rPr>
          <w:rFonts w:ascii="仿宋_GB2312" w:hAnsi="仿宋_GB2312" w:cs="宋体" w:hint="eastAsia" w:eastAsia="仿宋_GB2312"/>
          <w:w w:val="100"/>
          <w:kern w:val="0"/>
          <w:sz w:val="32"/>
          <w:szCs w:val="32"/>
          <w:shd w:fill="FFFFFF" w:val="clear"/>
        </w:rPr>
        <w:t>推动跨境货物贸易、服务贸易和新型国际贸易外汇收支与结算便利化。优化贸易外汇收支单证审核；贸易外汇收入无需经过待核查账户；取消特殊退汇业务登记手续。</w:t>
      </w:r>
    </w:p>
    <w:p>
      <w:pPr>
        <w:pStyle w:val="Normal"/>
        <w:spacing w:lineRule="exact" w:line="560"/>
        <w:ind w:firstLine="645" w:end="0"/>
        <w:rPr>
          <w:rFonts w:ascii="仿宋_GB2312" w:hAnsi="仿宋_GB2312" w:eastAsia="仿宋_GB2312" w:cs="黑体" w:hint="eastAsia"/>
          <w:w w:val="100"/>
          <w:sz w:val="32"/>
          <w:szCs w:val="32"/>
          <w:highlight w:val="none"/>
        </w:rPr>
      </w:pPr>
      <w:r>
        <w:rPr>
          <w:rFonts w:ascii="黑体" w:hAnsi="黑体" w:cs="宋体" w:hint="eastAsia" w:eastAsia="黑体"/>
          <w:bCs/>
          <w:w w:val="100"/>
          <w:sz w:val="32"/>
          <w:szCs w:val="32"/>
        </w:rPr>
        <w:t xml:space="preserve">第二十四条  </w:t>
      </w:r>
      <w:r>
        <w:rPr>
          <w:rFonts w:ascii="仿宋_GB2312" w:hAnsi="仿宋_GB2312" w:cs="黑体" w:hint="eastAsia" w:eastAsia="仿宋_GB2312"/>
          <w:w w:val="100"/>
          <w:sz w:val="32"/>
          <w:szCs w:val="32"/>
        </w:rPr>
        <w:t>自贸片区内进口货物产品和服务标准采用清单式管理，清单内的产品和服务可以执行国际通行标准。产品和服务标准清单由管委会另行制定。</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第二十五条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建设新型国际贸易中心，发展服务贸易，探索完善服务贸易统计体系，建立服务贸易监测制度；发展离岸贸易，创新离岸贸易收支汇兑服务，健全离岸贸易结算体系。</w:t>
      </w:r>
    </w:p>
    <w:p>
      <w:pPr>
        <w:pStyle w:val="Normal"/>
        <w:spacing w:lineRule="exact" w:line="560"/>
        <w:ind w:firstLine="64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第二十六条  </w:t>
      </w:r>
      <w:r>
        <w:rPr>
          <w:rFonts w:ascii="仿宋_GB2312" w:hAnsi="仿宋_GB2312" w:cs="宋体" w:hint="eastAsia" w:eastAsia="仿宋_GB2312"/>
          <w:w w:val="100"/>
          <w:kern w:val="0"/>
          <w:sz w:val="32"/>
          <w:szCs w:val="32"/>
          <w:shd w:fill="FFFFFF" w:val="clear"/>
        </w:rPr>
        <w:t>推动海关特殊监管区域内外联动发展，培育和发展保税研发、保税融资租赁、保税展示交易、保税检测维修等新业态。</w:t>
      </w:r>
    </w:p>
    <w:p>
      <w:pPr>
        <w:pStyle w:val="Normal"/>
        <w:spacing w:lineRule="exact" w:line="560"/>
        <w:ind w:firstLine="64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鼓励企业开展跨境科技研发创新活动，支持深圳前海综合保税区境外科研机构享受前海跨境设备保税政策。</w:t>
      </w:r>
    </w:p>
    <w:p>
      <w:pPr>
        <w:pStyle w:val="Normal"/>
        <w:spacing w:lineRule="exact" w:line="560"/>
        <w:ind w:firstLine="64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推进具有海外仓功能的跨境电子商务国际配送平台建设；支持符合条件的企业发展面向全球的文化艺术品展示、拍卖和交易等高附加值产业。</w:t>
      </w:r>
    </w:p>
    <w:p>
      <w:pPr>
        <w:pStyle w:val="Normal"/>
        <w:spacing w:lineRule="exact" w:line="560"/>
        <w:ind w:firstLine="64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第二十七条 </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支持自贸片区与“一带一路”沿线港口开展合作，与沿线试点港口扩大信息共享，实现数据互联，推动监管执法互助互认。</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第二十八条  </w:t>
      </w:r>
      <w:r>
        <w:rPr>
          <w:rFonts w:ascii="仿宋_GB2312" w:hAnsi="仿宋_GB2312" w:cs="宋体" w:hint="eastAsia" w:eastAsia="仿宋_GB2312"/>
          <w:w w:val="100"/>
          <w:kern w:val="0"/>
          <w:sz w:val="32"/>
          <w:szCs w:val="32"/>
          <w:shd w:fill="FFFFFF" w:val="clear"/>
        </w:rPr>
        <w:t>建设国际高端航运服务中心</w:t>
      </w:r>
      <w:r>
        <w:rPr>
          <w:rFonts w:ascii="仿宋_GB2312" w:hAnsi="仿宋_GB2312" w:cs="仿宋_GB2312" w:hint="eastAsia" w:eastAsia="仿宋_GB2312"/>
          <w:bCs/>
          <w:w w:val="100"/>
          <w:kern w:val="2"/>
          <w:sz w:val="32"/>
          <w:szCs w:val="32"/>
          <w:shd w:fill="auto" w:val="clear"/>
        </w:rPr>
        <w:t>，</w:t>
      </w:r>
      <w:r>
        <w:rPr>
          <w:rFonts w:ascii="仿宋_GB2312" w:hAnsi="仿宋_GB2312" w:cs="宋体" w:hint="eastAsia" w:eastAsia="仿宋_GB2312"/>
          <w:i w:val="false"/>
          <w:iCs w:val="false"/>
          <w:strike w:val="false"/>
          <w:dstrike w:val="false"/>
          <w:w w:val="100"/>
          <w:kern w:val="0"/>
          <w:sz w:val="32"/>
          <w:szCs w:val="32"/>
          <w:u w:val="none"/>
          <w:shd w:fill="FFFFFF" w:val="clear"/>
        </w:rPr>
        <w:t>实施</w:t>
      </w:r>
      <w:r>
        <w:rPr>
          <w:rFonts w:ascii="仿宋_GB2312" w:hAnsi="仿宋_GB2312" w:cs="宋体" w:hint="eastAsia" w:eastAsia="仿宋_GB2312"/>
          <w:w w:val="100"/>
          <w:kern w:val="0"/>
          <w:sz w:val="32"/>
          <w:szCs w:val="32"/>
          <w:shd w:fill="FFFFFF" w:val="clear"/>
        </w:rPr>
        <w:t>“中国前海”船籍港国际船舶登记制度。允许在自贸片区依法设立的企业，对其所有的船舶在深圳进行国际船舶登记，企业的外资股比不受限制。允许外籍船员在深圳进行国际船舶登记的船舶担任高级船员职务，且所有船员免办就业证。</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实施船舶登记品质管理，对登记为“中国前海”船籍的船舶逐步放开船舶法定检验和船龄限制。允许获得批准的外国验船公司对登记为“中国前海”船籍的船舶开展入级检验和法定检验。</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在有效监管、风险可控前提下，对境内制造船舶在“中国前海”船籍港登记从事国际运输的，按照出口管理。</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在自贸片区试点开展国际航行船舶保税液化天然气加油业务。允许设立海上保税燃料油供应仓库。鼓励保税燃油使用人民币计价、结算。</w:t>
      </w:r>
    </w:p>
    <w:p>
      <w:pPr>
        <w:pStyle w:val="Normal"/>
        <w:spacing w:lineRule="exact" w:line="560"/>
        <w:ind w:firstLine="643"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第二十九条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w w:val="100"/>
          <w:kern w:val="0"/>
          <w:sz w:val="32"/>
          <w:szCs w:val="32"/>
          <w:shd w:fill="FFFFFF" w:val="clear"/>
        </w:rPr>
        <w:t>建立游艇出入境信用管理制度，取消游艇自由行海关担保金。</w:t>
      </w:r>
    </w:p>
    <w:p>
      <w:pPr>
        <w:pStyle w:val="Normal"/>
        <w:spacing w:lineRule="exact" w:line="560"/>
        <w:ind w:firstLine="643"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探索对港澳游艇实施航行水域负面清单制度，负面清单以外的水域可以自由航行。</w:t>
      </w:r>
    </w:p>
    <w:p>
      <w:pPr>
        <w:pStyle w:val="Normal"/>
        <w:spacing w:lineRule="exact" w:line="560"/>
        <w:ind w:firstLine="643"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推动港澳居民通过游艇旅游出入境通关模式创新，探索建立游艇供船物料备案制度，实现游艇旅游人员和供船物料通关自由化。</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探索实施经邮轮母港入境外籍游客过境免签制度，支持在客运码头设置旅客国际中转区，优化出入境手续，延长口岸通关服务时间。</w:t>
      </w:r>
    </w:p>
    <w:p>
      <w:pPr>
        <w:pStyle w:val="Normal"/>
        <w:spacing w:lineRule="exact" w:line="560"/>
        <w:ind w:firstLine="645"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第三十条  </w:t>
      </w:r>
      <w:r>
        <w:rPr>
          <w:rFonts w:ascii="仿宋_GB2312" w:hAnsi="仿宋_GB2312" w:cs="宋体" w:hint="eastAsia" w:eastAsia="仿宋_GB2312"/>
          <w:w w:val="100"/>
          <w:kern w:val="0"/>
          <w:sz w:val="32"/>
          <w:szCs w:val="32"/>
          <w:shd w:fill="FFFFFF" w:val="clear"/>
        </w:rPr>
        <w:t>借鉴国际自由贸易区、自由贸易港通行规则，将深圳前海综合保税区建设成为功能完善、运行高效、法治健全、具有国际竞争力的新型综合保税区。</w:t>
      </w:r>
    </w:p>
    <w:p>
      <w:pPr>
        <w:pStyle w:val="Normal"/>
        <w:spacing w:lineRule="exact" w:line="560"/>
        <w:ind w:firstLine="645" w:end="0"/>
        <w:rPr>
          <w:rFonts w:ascii="仿宋_GB2312" w:hAnsi="仿宋_GB2312" w:eastAsia="仿宋_GB2312" w:cs="仿宋" w:hint="eastAsia"/>
          <w:w w:val="100"/>
          <w:sz w:val="32"/>
          <w:szCs w:val="32"/>
          <w:highlight w:val="none"/>
        </w:rPr>
      </w:pPr>
      <w:r>
        <w:rPr>
          <w:rFonts w:ascii="黑体" w:hAnsi="黑体" w:cs="宋体" w:hint="eastAsia" w:eastAsia="黑体"/>
          <w:bCs/>
          <w:w w:val="100"/>
          <w:sz w:val="32"/>
          <w:szCs w:val="32"/>
        </w:rPr>
        <w:t>第三十一条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bCs/>
          <w:w w:val="100"/>
          <w:sz w:val="32"/>
          <w:szCs w:val="32"/>
          <w:u w:val="none"/>
        </w:rPr>
        <w:t xml:space="preserve"> </w:t>
      </w:r>
      <w:r>
        <w:rPr>
          <w:rFonts w:ascii="仿宋_GB2312" w:hAnsi="仿宋_GB2312" w:cs="宋体" w:hint="eastAsia" w:eastAsia="仿宋_GB2312"/>
          <w:w w:val="100"/>
          <w:kern w:val="0"/>
          <w:sz w:val="32"/>
          <w:szCs w:val="32"/>
          <w:u w:val="none"/>
          <w:shd w:fill="FFFFFF" w:val="clear"/>
        </w:rPr>
        <w:t>建设绿色生态自贸片区</w:t>
      </w:r>
      <w:r>
        <w:rPr>
          <w:rFonts w:ascii="仿宋_GB2312" w:hAnsi="仿宋_GB2312" w:cs="宋体" w:hint="eastAsia" w:eastAsia="仿宋_GB2312"/>
          <w:w w:val="100"/>
          <w:kern w:val="0"/>
          <w:sz w:val="32"/>
          <w:szCs w:val="32"/>
          <w:shd w:fill="FFFFFF" w:val="clear"/>
        </w:rPr>
        <w:t>，推行国际通行的环境保护和能源管理体系标准，开展出口产品低碳认证，构建绿色供应链。</w:t>
      </w:r>
    </w:p>
    <w:p>
      <w:pPr>
        <w:pStyle w:val="Normal"/>
        <w:spacing w:lineRule="exact" w:line="560"/>
        <w:ind w:firstLine="645" w:end="0"/>
        <w:rPr>
          <w:rFonts w:ascii="仿宋_GB2312" w:hAnsi="仿宋_GB2312" w:eastAsia="仿宋_GB2312" w:cs="仿宋" w:hint="eastAsia"/>
          <w:w w:val="100"/>
          <w:sz w:val="32"/>
          <w:szCs w:val="32"/>
          <w:highlight w:val="none"/>
        </w:rPr>
      </w:pPr>
      <w:r>
        <w:rPr>
          <w:rFonts w:eastAsia="仿宋_GB2312" w:cs="仿宋" w:hint="eastAsia" w:ascii="仿宋_GB2312" w:hAnsi="仿宋_GB2312"/>
          <w:w w:val="100"/>
          <w:sz w:val="32"/>
          <w:szCs w:val="32"/>
        </w:rPr>
      </w:r>
    </w:p>
    <w:p>
      <w:pPr>
        <w:pStyle w:val="Normal"/>
        <w:spacing w:lineRule="exact" w:line="560"/>
        <w:jc w:val="center"/>
        <w:rPr>
          <w:rFonts w:ascii="黑体" w:hAnsi="黑体" w:eastAsia="黑体" w:cs="宋体" w:hint="eastAsia"/>
          <w:bCs/>
          <w:w w:val="100"/>
          <w:sz w:val="32"/>
          <w:szCs w:val="32"/>
          <w:highlight w:val="none"/>
        </w:rPr>
      </w:pPr>
      <w:r>
        <w:rPr>
          <w:rFonts w:ascii="黑体" w:hAnsi="黑体" w:cs="宋体" w:hint="eastAsia" w:eastAsia="黑体"/>
          <w:bCs/>
          <w:w w:val="100"/>
          <w:sz w:val="32"/>
          <w:szCs w:val="32"/>
        </w:rPr>
        <w:t>第五章  金融开放与创新</w:t>
      </w:r>
    </w:p>
    <w:p>
      <w:pPr>
        <w:pStyle w:val="Normal"/>
        <w:spacing w:lineRule="exact" w:line="560"/>
        <w:jc w:val="center"/>
        <w:rPr>
          <w:rFonts w:ascii="仿宋_GB2312" w:hAnsi="仿宋_GB2312" w:eastAsia="仿宋_GB2312" w:cs="宋体" w:hint="eastAsia"/>
          <w:bCs/>
          <w:w w:val="100"/>
          <w:sz w:val="32"/>
          <w:szCs w:val="32"/>
          <w:highlight w:val="none"/>
        </w:rPr>
      </w:pPr>
      <w:r>
        <w:rPr>
          <w:rFonts w:eastAsia="仿宋_GB2312" w:cs="宋体" w:hint="eastAsia" w:ascii="仿宋_GB2312" w:hAnsi="仿宋_GB2312"/>
          <w:bCs/>
          <w:w w:val="100"/>
          <w:sz w:val="32"/>
          <w:szCs w:val="32"/>
        </w:rPr>
      </w:r>
    </w:p>
    <w:p>
      <w:pPr>
        <w:pStyle w:val="Normal"/>
        <w:widowContro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第三十二条  </w:t>
      </w:r>
      <w:r>
        <w:rPr>
          <w:rFonts w:ascii="仿宋_GB2312" w:hAnsi="仿宋_GB2312" w:cs="宋体" w:hint="eastAsia" w:eastAsia="仿宋_GB2312"/>
          <w:w w:val="100"/>
          <w:kern w:val="0"/>
          <w:sz w:val="32"/>
          <w:szCs w:val="32"/>
          <w:shd w:fill="auto" w:val="clear"/>
        </w:rPr>
        <w:t>提升金融业对外开放水平，支持国家金融业改革创新政策在自贸片区先行先试，建设国家金融业对外开放试验示范窗口</w:t>
      </w:r>
      <w:r>
        <w:rPr>
          <w:rFonts w:ascii="仿宋_GB2312" w:hAnsi="仿宋_GB2312" w:cs="宋体" w:hint="eastAsia" w:eastAsia="仿宋_GB2312"/>
          <w:w w:val="100"/>
          <w:kern w:val="0"/>
          <w:sz w:val="32"/>
          <w:szCs w:val="32"/>
          <w:shd w:fill="FFFFFF" w:val="clear"/>
        </w:rPr>
        <w:t>。</w:t>
      </w:r>
    </w:p>
    <w:p>
      <w:pPr>
        <w:pStyle w:val="Normal"/>
        <w:spacing w:lineRule="exact" w:line="560"/>
        <w:ind w:firstLine="643"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第三十三条</w:t>
      </w:r>
      <w:bookmarkStart w:id="4" w:name="No100_Z5T26K1"/>
      <w:bookmarkEnd w:id="4"/>
      <w:r>
        <w:rPr>
          <w:rFonts w:ascii="仿宋_GB2312" w:hAnsi="仿宋_GB2312" w:cs="宋体" w:hint="eastAsia" w:eastAsia="仿宋_GB2312"/>
          <w:spacing w:val="-10"/>
          <w:w w:val="100"/>
          <w:kern w:val="0"/>
          <w:sz w:val="32"/>
          <w:szCs w:val="32"/>
          <w:shd w:fill="FFFFFF" w:val="clear"/>
        </w:rPr>
        <w:t xml:space="preserve">  </w:t>
      </w:r>
      <w:r>
        <w:rPr>
          <w:rFonts w:ascii="仿宋_GB2312" w:hAnsi="仿宋_GB2312" w:cs="宋体" w:hint="eastAsia" w:eastAsia="仿宋_GB2312"/>
          <w:w w:val="100"/>
          <w:kern w:val="0"/>
          <w:sz w:val="32"/>
          <w:szCs w:val="32"/>
          <w:shd w:fill="FFFFFF" w:val="clear"/>
        </w:rPr>
        <w:t>探索依托自由贸易账户建立本外币合一的银行账户体系，构建多功能自由贸易账户体系，促进跨境贸易、投融资结算便利化。</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第三十四条  </w:t>
      </w:r>
      <w:r>
        <w:rPr>
          <w:rFonts w:ascii="仿宋_GB2312" w:hAnsi="仿宋_GB2312" w:cs="宋体" w:hint="eastAsia" w:eastAsia="仿宋_GB2312"/>
          <w:w w:val="100"/>
          <w:kern w:val="0"/>
          <w:sz w:val="32"/>
          <w:szCs w:val="32"/>
          <w:shd w:fill="FFFFFF" w:val="clear"/>
        </w:rPr>
        <w:t>支持自贸片区构建跨境人民币业务创新试验区，支持符合条件的企业按照规定开展跨境金融业务。</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鼓励企业将人民币作为跨境大额贸易、投资计价和结算的主要货币，扩大人民币跨境使用范围和规模，拓宽境外人民币资金回流渠道；支持和配合香港人民币离岸中心建设，支持建立本外币合一资金池账户，整合本外币资金调剂归集功能，双向宏观审慎管理资金池跨境资金流动，允许主账户内资金办理结售汇和相关的套期保值衍生品交易，跨境调出人资金币种保持一致，资金池资金使用实行负面清单管理；建立健全跨境理财通机制，打造跨境财富管理中心。</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支持自贸片区在优化升级现有交易场所的前提下，探索允许非居民按照规定参与交易和进行资金结算。</w:t>
      </w:r>
    </w:p>
    <w:p>
      <w:pPr>
        <w:pStyle w:val="Normal"/>
        <w:widowControl/>
        <w:spacing w:lineRule="exact" w:line="560"/>
        <w:ind w:firstLineChars="200" w:startChars="0" w:start="0" w:endChars="0" w:end="0"/>
        <w:jc w:val="both"/>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i w:val="false"/>
          <w:iCs w:val="false"/>
          <w:w w:val="100"/>
          <w:sz w:val="32"/>
          <w:szCs w:val="32"/>
          <w:u w:val="none"/>
        </w:rPr>
        <w:t xml:space="preserve">第三十五条  </w:t>
      </w:r>
      <w:r>
        <w:rPr>
          <w:rFonts w:ascii="仿宋_GB2312" w:hAnsi="仿宋_GB2312" w:cs="宋体" w:hint="eastAsia" w:eastAsia="仿宋_GB2312"/>
          <w:w w:val="100"/>
          <w:kern w:val="0"/>
          <w:sz w:val="32"/>
          <w:szCs w:val="32"/>
          <w:shd w:fill="FFFFFF" w:val="clear"/>
        </w:rPr>
        <w:t>支持银行业金融机构在宏观审慎框架下，向港澳地区机构和项目发放不限币种的跨境贷款。</w:t>
      </w:r>
    </w:p>
    <w:p>
      <w:pPr>
        <w:pStyle w:val="Normal"/>
        <w:widowControl/>
        <w:spacing w:lineRule="exact" w:line="560"/>
        <w:ind w:firstLineChars="200" w:startChars="0" w:start="0" w:endChars="0" w:end="0"/>
        <w:jc w:val="both"/>
        <w:rPr>
          <w:rFonts w:ascii="仿宋_GB2312" w:hAnsi="仿宋_GB2312" w:eastAsia="仿宋_GB2312" w:cs="黑体" w:hint="eastAsia"/>
          <w:w w:val="100"/>
          <w:kern w:val="0"/>
          <w:sz w:val="32"/>
          <w:szCs w:val="32"/>
          <w:highlight w:val="none"/>
        </w:rPr>
      </w:pPr>
      <w:r>
        <w:rPr>
          <w:rFonts w:ascii="仿宋_GB2312" w:hAnsi="仿宋_GB2312" w:cs="宋体" w:hint="eastAsia" w:eastAsia="仿宋_GB2312"/>
          <w:w w:val="100"/>
          <w:kern w:val="0"/>
          <w:sz w:val="32"/>
          <w:szCs w:val="32"/>
          <w:shd w:fill="FFFFFF" w:val="clear"/>
        </w:rPr>
        <w:t>支持证券交易机构设立大湾区债券平台，建设境内外投资者参与的国际债券市场。</w:t>
      </w:r>
    </w:p>
    <w:p>
      <w:pPr>
        <w:pStyle w:val="Normal"/>
        <w:autoSpaceDE w:val="false"/>
        <w:spacing w:lineRule="exact" w:line="560"/>
        <w:ind w:firstLineChars="196" w:startChars="0" w:start="0" w:endChars="0" w:end="0"/>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第三十六条</w:t>
      </w:r>
      <w:bookmarkStart w:id="5" w:name="_Hlk20734365"/>
      <w:r>
        <w:rPr>
          <w:rFonts w:ascii="黑体" w:hAnsi="黑体" w:cs="宋体" w:hint="eastAsia" w:eastAsia="黑体"/>
          <w:bCs/>
          <w:w w:val="100"/>
          <w:sz w:val="32"/>
          <w:szCs w:val="32"/>
        </w:rPr>
        <w:t xml:space="preserve">  </w:t>
      </w:r>
      <w:r>
        <w:rPr>
          <w:rFonts w:ascii="仿宋_GB2312" w:hAnsi="仿宋_GB2312" w:cs="宋体" w:hint="eastAsia" w:eastAsia="仿宋_GB2312"/>
          <w:w w:val="100"/>
          <w:kern w:val="0"/>
          <w:sz w:val="32"/>
          <w:szCs w:val="32"/>
          <w:shd w:fill="FFFFFF" w:val="clear"/>
        </w:rPr>
        <w:t>探索推进自贸片区内资本自由流入流出和自由兑换</w:t>
      </w:r>
      <w:bookmarkEnd w:id="5"/>
      <w:r>
        <w:rPr>
          <w:rFonts w:ascii="仿宋_GB2312" w:hAnsi="仿宋_GB2312" w:cs="宋体" w:hint="eastAsia" w:eastAsia="仿宋_GB2312"/>
          <w:w w:val="100"/>
          <w:kern w:val="0"/>
          <w:sz w:val="32"/>
          <w:szCs w:val="32"/>
          <w:shd w:fill="FFFFFF" w:val="clear"/>
        </w:rPr>
        <w:t>，按照统筹规划、服务实体、风险可控、分步推进的原则，稳步推进资本项目可兑换。</w:t>
      </w:r>
    </w:p>
    <w:p>
      <w:pPr>
        <w:pStyle w:val="Normal"/>
        <w:widowControl/>
        <w:spacing w:lineRule="exact" w:line="560"/>
        <w:ind w:firstLineChars="200" w:startChars="0" w:start="0" w:endChars="0" w:end="0"/>
        <w:jc w:val="both"/>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第三十七条  </w:t>
      </w:r>
      <w:r>
        <w:rPr>
          <w:rFonts w:ascii="仿宋_GB2312" w:hAnsi="仿宋_GB2312" w:cs="宋体" w:hint="eastAsia" w:eastAsia="仿宋_GB2312"/>
          <w:w w:val="100"/>
          <w:kern w:val="0"/>
          <w:sz w:val="32"/>
          <w:szCs w:val="32"/>
          <w:shd w:fill="FFFFFF" w:val="clear"/>
        </w:rPr>
        <w:t>企业从境外募集的资金，可以自主用于自贸片区内以及境外的经营活动。</w:t>
      </w:r>
    </w:p>
    <w:p>
      <w:pPr>
        <w:pStyle w:val="Normal"/>
        <w:widowControl/>
        <w:spacing w:lineRule="exact" w:line="560"/>
        <w:ind w:firstLineChars="200" w:startChars="0" w:start="0" w:endChars="0" w:end="0"/>
        <w:jc w:val="both"/>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符合条件的金融机构从境外募集的资金及其提供跨境服务取得的收入，可以自主用于自贸片区内以及境外的投资活动。</w:t>
      </w:r>
    </w:p>
    <w:p>
      <w:pPr>
        <w:pStyle w:val="Normal"/>
        <w:widowControl/>
        <w:spacing w:lineRule="exact" w:line="560"/>
        <w:ind w:firstLineChars="200" w:startChars="0" w:start="0" w:endChars="0" w:end="0"/>
        <w:jc w:val="both"/>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支持自贸片区保理行业高质量发展，探索开展国际保理业务。</w:t>
      </w:r>
    </w:p>
    <w:p>
      <w:pPr>
        <w:pStyle w:val="Normal"/>
        <w:widowControl/>
        <w:spacing w:lineRule="exact" w:line="560"/>
        <w:ind w:firstLineChars="200" w:startChars="0" w:start="0" w:endChars="0" w:end="0"/>
        <w:jc w:val="both"/>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支持自贸片区融资租赁类企业开展经营性租赁业务收取外币租金，探索业务模式创新，推动</w:t>
      </w:r>
      <w:r>
        <w:rPr>
          <w:rFonts w:ascii="仿宋_GB2312" w:hAnsi="仿宋_GB2312" w:cs="仿宋_GB2312" w:hint="eastAsia" w:eastAsia="仿宋_GB2312"/>
          <w:w w:val="100"/>
          <w:kern w:val="0"/>
          <w:sz w:val="32"/>
          <w:szCs w:val="32"/>
          <w:shd w:fill="FFFFFF" w:val="clear"/>
        </w:rPr>
        <w:t>融资</w:t>
      </w:r>
      <w:r>
        <w:rPr>
          <w:rFonts w:ascii="仿宋_GB2312" w:hAnsi="仿宋_GB2312" w:cs="宋体" w:hint="eastAsia" w:eastAsia="仿宋_GB2312"/>
          <w:w w:val="100"/>
          <w:kern w:val="0"/>
          <w:sz w:val="32"/>
          <w:szCs w:val="32"/>
          <w:shd w:fill="FFFFFF" w:val="clear"/>
        </w:rPr>
        <w:t>租赁产业集聚发展。</w:t>
      </w:r>
    </w:p>
    <w:p>
      <w:pPr>
        <w:pStyle w:val="Normal"/>
        <w:widowControl/>
        <w:spacing w:lineRule="exact" w:line="560"/>
        <w:ind w:firstLineChars="200" w:startChars="0" w:start="0" w:endChars="0" w:end="0"/>
        <w:jc w:val="both"/>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第</w:t>
      </w:r>
      <w:r>
        <w:rPr>
          <w:rFonts w:ascii="黑体" w:hAnsi="黑体" w:cs="宋体" w:hint="eastAsia" w:eastAsia="黑体"/>
          <w:bCs/>
          <w:i w:val="false"/>
          <w:iCs w:val="false"/>
          <w:w w:val="100"/>
          <w:sz w:val="32"/>
          <w:szCs w:val="32"/>
          <w:u w:val="none"/>
        </w:rPr>
        <w:t>三十八</w:t>
      </w:r>
      <w:r>
        <w:rPr>
          <w:rFonts w:ascii="黑体" w:hAnsi="黑体" w:cs="宋体" w:hint="eastAsia" w:eastAsia="黑体"/>
          <w:bCs/>
          <w:w w:val="100"/>
          <w:sz w:val="32"/>
          <w:szCs w:val="32"/>
        </w:rPr>
        <w:t xml:space="preserve">条  </w:t>
      </w:r>
      <w:r>
        <w:rPr>
          <w:rFonts w:ascii="仿宋_GB2312" w:hAnsi="仿宋_GB2312" w:cs="宋体" w:hint="eastAsia" w:eastAsia="仿宋_GB2312"/>
          <w:w w:val="100"/>
          <w:kern w:val="0"/>
          <w:sz w:val="32"/>
          <w:szCs w:val="32"/>
          <w:shd w:fill="FFFFFF" w:val="clear"/>
        </w:rPr>
        <w:t>深化与港澳金融科技合作，打造金融科技合作载体，推进金融领域人工智能、大数据、云计算等科技成果在自贸片区落地。</w:t>
      </w:r>
    </w:p>
    <w:p>
      <w:pPr>
        <w:pStyle w:val="Normal"/>
        <w:widowControl/>
        <w:spacing w:lineRule="exact" w:line="560"/>
        <w:ind w:firstLineChars="200" w:startChars="0" w:start="0" w:endChars="0" w:end="0"/>
        <w:jc w:val="both"/>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推进人民币跨境使用和外汇管理便利化；探索跨境贸易金融和国际支付清算新机制；支持与港澳金融监管机构协调合作，建设新一代跨境支付系统，完善跨境收支监测分析。</w:t>
      </w:r>
    </w:p>
    <w:p>
      <w:pPr>
        <w:pStyle w:val="Normal"/>
        <w:widowControl/>
        <w:spacing w:lineRule="exact" w:line="560"/>
        <w:ind w:firstLineChars="200" w:startChars="0" w:start="0" w:endChars="0" w:end="0"/>
        <w:jc w:val="both"/>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支持与港澳开展绿色金融合作，建立绿色项目互认机制，构建与国际接轨的深港澳绿色债券标准，支持自贸片区金融机构和企业在港澳发行绿色债券以及其他绿色金融产品。</w:t>
      </w:r>
    </w:p>
    <w:p>
      <w:pPr>
        <w:pStyle w:val="Normal"/>
        <w:widowControl/>
        <w:spacing w:lineRule="exact" w:line="560"/>
        <w:ind w:firstLineChars="200" w:startChars="0" w:start="0" w:endChars="0" w:end="0"/>
        <w:jc w:val="start"/>
        <w:rPr>
          <w:rFonts w:ascii="黑体" w:hAnsi="黑体" w:eastAsia="黑体" w:cs="宋体" w:hint="eastAsia"/>
          <w:bCs/>
          <w:w w:val="100"/>
          <w:sz w:val="32"/>
          <w:szCs w:val="32"/>
          <w:highlight w:val="none"/>
        </w:rPr>
      </w:pPr>
      <w:r>
        <w:rPr>
          <w:rFonts w:ascii="黑体" w:hAnsi="黑体" w:cs="宋体" w:hint="eastAsia" w:eastAsia="黑体"/>
          <w:bCs/>
          <w:w w:val="100"/>
          <w:sz w:val="32"/>
          <w:szCs w:val="32"/>
        </w:rPr>
        <w:t xml:space="preserve">第三十九条  </w:t>
      </w:r>
      <w:r>
        <w:rPr>
          <w:rFonts w:ascii="仿宋_GB2312" w:hAnsi="仿宋_GB2312" w:cs="宋体" w:hint="eastAsia" w:eastAsia="仿宋_GB2312"/>
          <w:bCs/>
          <w:w w:val="100"/>
          <w:kern w:val="0"/>
          <w:sz w:val="32"/>
          <w:szCs w:val="32"/>
          <w:shd w:fill="FFFFFF" w:val="clear"/>
        </w:rPr>
        <w:t>推</w:t>
      </w:r>
      <w:r>
        <w:rPr>
          <w:rFonts w:ascii="仿宋_GB2312" w:hAnsi="仿宋_GB2312" w:cs="黑体" w:hint="eastAsia" w:eastAsia="仿宋_GB2312"/>
          <w:spacing w:val="-10"/>
          <w:w w:val="100"/>
          <w:sz w:val="32"/>
          <w:szCs w:val="32"/>
        </w:rPr>
        <w:t>动自贸片区与港澳开展银行、证券、保险等领域的金融产品跨境交易，探索单一通行证制度，构建产品互认、资金互通、市场互联机</w:t>
      </w:r>
      <w:r>
        <w:rPr>
          <w:rFonts w:ascii="仿宋_GB2312" w:hAnsi="仿宋_GB2312" w:cs="宋体" w:hint="eastAsia" w:eastAsia="仿宋_GB2312"/>
          <w:bCs/>
          <w:w w:val="100"/>
          <w:kern w:val="0"/>
          <w:sz w:val="32"/>
          <w:szCs w:val="32"/>
          <w:shd w:fill="FFFFFF" w:val="clear"/>
        </w:rPr>
        <w:t>制。</w:t>
      </w:r>
    </w:p>
    <w:p>
      <w:pPr>
        <w:pStyle w:val="Normal"/>
        <w:widowContro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黑体" w:hAnsi="黑体" w:cs="宋体" w:hint="eastAsia" w:eastAsia="黑体"/>
          <w:bCs/>
          <w:w w:val="100"/>
          <w:sz w:val="32"/>
          <w:szCs w:val="32"/>
        </w:rPr>
        <w:t xml:space="preserve">第四十条  </w:t>
      </w:r>
      <w:r>
        <w:rPr>
          <w:rFonts w:ascii="仿宋_GB2312" w:hAnsi="仿宋_GB2312" w:cs="宋体" w:hint="eastAsia" w:eastAsia="仿宋_GB2312"/>
          <w:w w:val="100"/>
          <w:kern w:val="0"/>
          <w:sz w:val="32"/>
          <w:szCs w:val="32"/>
          <w:shd w:fill="FFFFFF" w:val="clear"/>
        </w:rPr>
        <w:t>支持符合条件的港澳保险业金融机构在自贸片区设立经营机构；支持港澳保险业在自贸片区设立保险售后服务中心。</w:t>
      </w:r>
    </w:p>
    <w:p>
      <w:pPr>
        <w:pStyle w:val="Normal"/>
        <w:widowContro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支持银行业金融机构在自贸片区为已购买港澳地区保险产品的内地居民提供理赔、续保、退保等跨境资金汇兑服务。</w:t>
      </w:r>
    </w:p>
    <w:p>
      <w:pPr>
        <w:pStyle w:val="Normal"/>
        <w:widowContro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仿宋_GB2312" w:hAnsi="仿宋_GB2312" w:cs="宋体" w:hint="eastAsia" w:eastAsia="仿宋_GB2312"/>
          <w:w w:val="100"/>
          <w:kern w:val="0"/>
          <w:sz w:val="32"/>
          <w:szCs w:val="32"/>
          <w:shd w:fill="FFFFFF" w:val="clear"/>
        </w:rPr>
        <w:t>支持保险业金融机构与境外同类机构合作开发跨境医疗保险产品。</w:t>
      </w:r>
    </w:p>
    <w:p>
      <w:pPr>
        <w:pStyle w:val="Normal"/>
        <w:widowControl/>
        <w:spacing w:lineRule="exact" w:line="560"/>
        <w:ind w:firstLineChars="200" w:startChars="0" w:start="0" w:endChars="0" w:end="0"/>
        <w:jc w:val="start"/>
        <w:rPr>
          <w:rFonts w:ascii="仿宋_GB2312" w:hAnsi="仿宋_GB2312" w:eastAsia="仿宋_GB2312" w:cs="黑体" w:hint="eastAsia"/>
          <w:spacing w:val="-10"/>
          <w:w w:val="100"/>
          <w:sz w:val="32"/>
          <w:szCs w:val="32"/>
          <w:highlight w:val="none"/>
        </w:rPr>
      </w:pPr>
      <w:r>
        <w:rPr>
          <w:rFonts w:ascii="黑体" w:hAnsi="黑体" w:cs="宋体" w:hint="eastAsia" w:eastAsia="黑体"/>
          <w:bCs/>
          <w:w w:val="100"/>
          <w:sz w:val="32"/>
          <w:szCs w:val="32"/>
        </w:rPr>
        <w:t xml:space="preserve">第四十一条  </w:t>
      </w:r>
      <w:r>
        <w:rPr>
          <w:rFonts w:ascii="仿宋_GB2312" w:hAnsi="仿宋_GB2312" w:cs="宋体" w:hint="eastAsia" w:eastAsia="仿宋_GB2312"/>
          <w:w w:val="100"/>
          <w:kern w:val="0"/>
          <w:sz w:val="32"/>
          <w:szCs w:val="32"/>
          <w:shd w:fill="FFFFFF" w:val="clear"/>
        </w:rPr>
        <w:t>支持创新型金融业态多样化发展，支持符合条件的国际性金融总部</w:t>
      </w:r>
      <w:r>
        <w:rPr>
          <w:rFonts w:ascii="仿宋_GB2312" w:hAnsi="仿宋_GB2312" w:cs="黑体" w:hint="eastAsia" w:eastAsia="仿宋_GB2312"/>
          <w:spacing w:val="-10"/>
          <w:w w:val="100"/>
          <w:sz w:val="32"/>
          <w:szCs w:val="32"/>
        </w:rPr>
        <w:t>、资金管理中心和全国性金融总部、业务运营总部、重大金融项目等落户自贸片区</w:t>
      </w:r>
      <w:r>
        <w:rPr>
          <w:rFonts w:ascii="仿宋_GB2312" w:hAnsi="仿宋_GB2312" w:cs="宋体" w:hint="eastAsia" w:eastAsia="仿宋_GB2312"/>
          <w:w w:val="100"/>
          <w:kern w:val="0"/>
          <w:sz w:val="32"/>
          <w:szCs w:val="32"/>
          <w:shd w:fill="FFFFFF" w:val="clear"/>
        </w:rPr>
        <w:t>。</w:t>
      </w:r>
    </w:p>
    <w:p>
      <w:pPr>
        <w:pStyle w:val="Normal"/>
        <w:widowControl/>
        <w:spacing w:lineRule="exact" w:line="560"/>
        <w:ind w:firstLineChars="200" w:startChars="0" w:start="0" w:endChars="0" w:end="0"/>
        <w:jc w:val="start"/>
        <w:rPr>
          <w:rFonts w:ascii="仿宋_GB2312" w:hAnsi="仿宋_GB2312" w:eastAsia="仿宋_GB2312" w:cs="宋体" w:hint="eastAsia"/>
          <w:w w:val="100"/>
          <w:kern w:val="0"/>
          <w:sz w:val="32"/>
          <w:szCs w:val="32"/>
          <w:highlight w:val="none"/>
          <w:shd w:fill="FFFFFF" w:val="clear"/>
        </w:rPr>
      </w:pPr>
      <w:r>
        <w:rPr>
          <w:rFonts w:ascii="仿宋_GB2312" w:hAnsi="仿宋_GB2312" w:cs="黑体" w:hint="eastAsia" w:eastAsia="仿宋_GB2312"/>
          <w:spacing w:val="-10"/>
          <w:w w:val="100"/>
          <w:sz w:val="32"/>
          <w:szCs w:val="32"/>
        </w:rPr>
        <w:t>支持国际海洋开发银行落户自贸片区，大力发</w:t>
      </w:r>
      <w:r>
        <w:rPr>
          <w:rFonts w:ascii="仿宋_GB2312" w:hAnsi="仿宋_GB2312" w:cs="宋体" w:hint="eastAsia" w:eastAsia="仿宋_GB2312"/>
          <w:w w:val="100"/>
          <w:kern w:val="0"/>
          <w:sz w:val="32"/>
          <w:szCs w:val="32"/>
          <w:shd w:fill="FFFFFF" w:val="clear"/>
        </w:rPr>
        <w:t>展海洋金融</w:t>
      </w:r>
      <w:r>
        <w:rPr>
          <w:rFonts w:ascii="黑体" w:hAnsi="黑体" w:cs="黑体" w:hint="eastAsia" w:eastAsia="黑体"/>
          <w:i w:val="false"/>
          <w:iCs w:val="false"/>
          <w:w w:val="100"/>
          <w:kern w:val="0"/>
          <w:sz w:val="32"/>
          <w:szCs w:val="32"/>
          <w:u w:val="none"/>
          <w:shd w:fill="FFFFFF" w:val="clear"/>
        </w:rPr>
        <w:t>，</w:t>
      </w:r>
      <w:r>
        <w:rPr>
          <w:rFonts w:ascii="仿宋_GB2312" w:hAnsi="仿宋_GB2312" w:cs="宋体" w:hint="eastAsia" w:eastAsia="仿宋_GB2312"/>
          <w:w w:val="100"/>
          <w:kern w:val="0"/>
          <w:sz w:val="32"/>
          <w:szCs w:val="32"/>
          <w:shd w:fill="FFFFFF" w:val="clear"/>
        </w:rPr>
        <w:t>服务深圳全球海洋中心城市建设。</w:t>
      </w:r>
    </w:p>
    <w:p>
      <w:pPr>
        <w:pStyle w:val="Normal"/>
        <w:spacing w:lineRule="exact" w:line="560"/>
        <w:jc w:val="center"/>
        <w:rPr>
          <w:rFonts w:ascii="黑体" w:hAnsi="黑体" w:eastAsia="黑体" w:cs="宋体" w:hint="eastAsia"/>
          <w:bCs/>
          <w:w w:val="100"/>
          <w:kern w:val="0"/>
          <w:sz w:val="32"/>
          <w:szCs w:val="32"/>
          <w:highlight w:val="none"/>
          <w:shd w:fill="FFFFFF" w:val="clear"/>
        </w:rPr>
      </w:pPr>
      <w:r>
        <w:rPr>
          <w:rFonts w:eastAsia="黑体" w:cs="宋体" w:hint="eastAsia" w:ascii="黑体" w:hAnsi="黑体"/>
          <w:bCs/>
          <w:w w:val="100"/>
          <w:kern w:val="0"/>
          <w:sz w:val="32"/>
          <w:szCs w:val="32"/>
          <w:shd w:fill="FFFFFF" w:val="clear"/>
        </w:rPr>
      </w:r>
    </w:p>
    <w:p>
      <w:pPr>
        <w:pStyle w:val="Normal"/>
        <w:spacing w:lineRule="exact" w:line="560"/>
        <w:jc w:val="center"/>
        <w:rPr>
          <w:rFonts w:ascii="黑体" w:hAnsi="黑体" w:eastAsia="黑体" w:cs="宋体" w:hint="eastAsia"/>
          <w:bCs/>
          <w:w w:val="100"/>
          <w:sz w:val="32"/>
          <w:szCs w:val="32"/>
          <w:highlight w:val="none"/>
        </w:rPr>
      </w:pPr>
      <w:r>
        <w:rPr>
          <w:rFonts w:ascii="黑体" w:hAnsi="黑体" w:cs="宋体" w:hint="eastAsia" w:eastAsia="黑体"/>
          <w:bCs/>
          <w:w w:val="100"/>
          <w:sz w:val="32"/>
          <w:szCs w:val="32"/>
        </w:rPr>
        <w:t>第六章  监管与服务</w:t>
      </w:r>
    </w:p>
    <w:p>
      <w:pPr>
        <w:pStyle w:val="Normal"/>
        <w:spacing w:lineRule="exact" w:line="560"/>
        <w:jc w:val="center"/>
        <w:rPr>
          <w:rFonts w:ascii="仿宋_GB2312" w:hAnsi="仿宋_GB2312" w:eastAsia="仿宋_GB2312" w:cs="宋体" w:hint="eastAsia"/>
          <w:bCs/>
          <w:w w:val="100"/>
          <w:sz w:val="32"/>
          <w:szCs w:val="32"/>
          <w:highlight w:val="none"/>
        </w:rPr>
      </w:pPr>
      <w:r>
        <w:rPr>
          <w:rFonts w:eastAsia="仿宋_GB2312" w:cs="宋体" w:hint="eastAsia" w:ascii="仿宋_GB2312" w:hAnsi="仿宋_GB2312"/>
          <w:bCs/>
          <w:w w:val="100"/>
          <w:sz w:val="32"/>
          <w:szCs w:val="32"/>
        </w:rPr>
      </w:r>
    </w:p>
    <w:p>
      <w:pPr>
        <w:pStyle w:val="Normal"/>
        <w:widowControl/>
        <w:spacing w:lineRule="exact" w:line="560"/>
        <w:ind w:firstLineChars="200" w:startChars="0" w:start="0" w:endChars="0" w:end="0"/>
        <w:textAlignment w:val="baseline"/>
        <w:rPr>
          <w:rFonts w:ascii="仿宋_GB2312" w:hAnsi="仿宋_GB2312" w:eastAsia="仿宋_GB2312" w:cs="宋体" w:hint="eastAsia"/>
          <w:bCs/>
          <w:w w:val="100"/>
          <w:sz w:val="32"/>
          <w:szCs w:val="32"/>
          <w:highlight w:val="none"/>
          <w:shd w:fill="FFFFFF" w:val="clear"/>
        </w:rPr>
      </w:pPr>
      <w:r>
        <w:rPr>
          <w:rFonts w:ascii="黑体" w:hAnsi="黑体" w:cs="宋体" w:hint="eastAsia" w:eastAsia="黑体"/>
          <w:bCs/>
          <w:w w:val="100"/>
          <w:sz w:val="32"/>
          <w:szCs w:val="32"/>
        </w:rPr>
        <w:t>第四十二条</w:t>
      </w:r>
      <w:bookmarkStart w:id="6" w:name="_Hlk5874242"/>
      <w:r>
        <w:rPr>
          <w:rFonts w:ascii="黑体" w:hAnsi="黑体" w:cs="宋体" w:hint="eastAsia" w:eastAsia="黑体"/>
          <w:bCs/>
          <w:w w:val="100"/>
          <w:sz w:val="32"/>
          <w:szCs w:val="32"/>
        </w:rPr>
        <w:t xml:space="preserve">  </w:t>
      </w:r>
      <w:r>
        <w:rPr>
          <w:rFonts w:ascii="仿宋_GB2312" w:hAnsi="仿宋_GB2312" w:cs="宋体" w:hint="eastAsia" w:eastAsia="仿宋_GB2312"/>
          <w:bCs/>
          <w:w w:val="100"/>
          <w:sz w:val="32"/>
          <w:szCs w:val="32"/>
          <w:shd w:fill="FFFFFF" w:val="clear"/>
        </w:rPr>
        <w:t>自贸片区应当创新监管方式，推进事前审批转为事中事后监管，</w:t>
      </w:r>
      <w:bookmarkEnd w:id="6"/>
      <w:r>
        <w:rPr>
          <w:rFonts w:ascii="仿宋_GB2312" w:hAnsi="仿宋_GB2312" w:cs="宋体" w:hint="eastAsia" w:eastAsia="仿宋_GB2312"/>
          <w:bCs/>
          <w:w w:val="100"/>
          <w:sz w:val="32"/>
          <w:szCs w:val="32"/>
          <w:shd w:fill="FFFFFF" w:val="clear"/>
        </w:rPr>
        <w:t>形成行政监管、行业自律、社会监督的多元化综合监管机制。</w:t>
      </w:r>
    </w:p>
    <w:p>
      <w:pPr>
        <w:pStyle w:val="Normal"/>
        <w:spacing w:lineRule="exact" w:line="560"/>
        <w:ind w:firstLineChars="220" w:startChars="0" w:start="0" w:endChars="0" w:end="0"/>
        <w:rPr>
          <w:rFonts w:ascii="仿宋_GB2312" w:hAnsi="仿宋_GB2312" w:eastAsia="仿宋_GB2312" w:cs="宋体" w:hint="eastAsia"/>
          <w:bCs/>
          <w:spacing w:val="-6"/>
          <w:w w:val="100"/>
          <w:sz w:val="32"/>
          <w:szCs w:val="32"/>
          <w:highlight w:val="none"/>
          <w:shd w:fill="FFFFFF" w:val="clear"/>
        </w:rPr>
      </w:pPr>
      <w:r>
        <w:rPr>
          <w:rFonts w:ascii="黑体" w:hAnsi="黑体" w:cs="宋体" w:hint="eastAsia" w:eastAsia="黑体"/>
          <w:bCs/>
          <w:w w:val="100"/>
          <w:sz w:val="32"/>
          <w:szCs w:val="32"/>
        </w:rPr>
        <w:t xml:space="preserve">第四十三条  </w:t>
      </w:r>
      <w:r>
        <w:rPr>
          <w:rFonts w:ascii="仿宋_GB2312" w:hAnsi="仿宋_GB2312" w:cs="宋体" w:hint="eastAsia" w:eastAsia="仿宋_GB2312"/>
          <w:bCs/>
          <w:spacing w:val="-6"/>
          <w:w w:val="100"/>
          <w:sz w:val="32"/>
          <w:szCs w:val="32"/>
          <w:shd w:fill="FFFFFF" w:val="clear"/>
        </w:rPr>
        <w:t>管委会可以根据发展需要，提出行使市级、区级行政审批权限目录，依照法定程序报有权机关批准后实施。</w:t>
      </w:r>
    </w:p>
    <w:p>
      <w:pPr>
        <w:pStyle w:val="Normal"/>
        <w:spacing w:lineRule="exact" w:line="560"/>
        <w:ind w:firstLineChars="200" w:startChars="0" w:start="0" w:endChars="0" w:end="0"/>
        <w:rPr>
          <w:rFonts w:ascii="仿宋_GB2312" w:hAnsi="仿宋_GB2312" w:eastAsia="仿宋_GB2312" w:cs="黑体" w:hint="eastAsia"/>
          <w:spacing w:val="-10"/>
          <w:w w:val="100"/>
          <w:sz w:val="32"/>
          <w:szCs w:val="32"/>
          <w:highlight w:val="none"/>
        </w:rPr>
      </w:pPr>
      <w:r>
        <w:rPr>
          <w:rFonts w:ascii="黑体" w:hAnsi="黑体" w:cs="宋体" w:hint="eastAsia" w:eastAsia="黑体"/>
          <w:bCs/>
          <w:w w:val="100"/>
          <w:sz w:val="32"/>
          <w:szCs w:val="32"/>
        </w:rPr>
        <w:t>第四十四条</w:t>
      </w:r>
      <w:r>
        <w:rPr>
          <w:rFonts w:ascii="仿宋_GB2312" w:hAnsi="仿宋_GB2312" w:cs="黑体" w:hint="eastAsia" w:eastAsia="仿宋_GB2312"/>
          <w:spacing w:val="-10"/>
          <w:w w:val="100"/>
          <w:sz w:val="32"/>
          <w:szCs w:val="32"/>
        </w:rPr>
        <w:t xml:space="preserve">  自贸片区税收管理相关业务实施专业化集中办理，逐步减少或者取消前置核查，推行先办理后核查、办理核查相分离等工作方式。</w:t>
      </w:r>
    </w:p>
    <w:p>
      <w:pPr>
        <w:pStyle w:val="Normal"/>
        <w:widowControl/>
        <w:spacing w:lineRule="exact" w:line="560"/>
        <w:ind w:firstLineChars="200" w:startChars="0" w:start="0" w:endChars="0" w:end="0"/>
        <w:textAlignment w:val="baseline"/>
        <w:rPr>
          <w:rFonts w:ascii="仿宋_GB2312" w:hAnsi="仿宋_GB2312" w:eastAsia="仿宋_GB2312" w:cs="宋体" w:hint="eastAsia"/>
          <w:bCs/>
          <w:w w:val="100"/>
          <w:sz w:val="32"/>
          <w:szCs w:val="32"/>
          <w:highlight w:val="none"/>
          <w:shd w:fill="FFFFFF" w:val="clear"/>
        </w:rPr>
      </w:pPr>
      <w:r>
        <w:rPr>
          <w:rFonts w:ascii="黑体" w:hAnsi="黑体" w:cs="宋体" w:hint="eastAsia" w:eastAsia="黑体"/>
          <w:bCs/>
          <w:w w:val="100"/>
          <w:sz w:val="32"/>
          <w:szCs w:val="32"/>
        </w:rPr>
        <w:t xml:space="preserve">第四十五条  </w:t>
      </w:r>
      <w:r>
        <w:rPr>
          <w:rFonts w:ascii="仿宋_GB2312" w:hAnsi="仿宋_GB2312" w:cs="宋体" w:hint="eastAsia" w:eastAsia="仿宋_GB2312"/>
          <w:bCs/>
          <w:w w:val="100"/>
          <w:sz w:val="32"/>
          <w:szCs w:val="32"/>
          <w:shd w:fill="FFFFFF" w:val="clear"/>
        </w:rPr>
        <w:t>建立自贸片区紧缺人才清单制度，定期发布紧缺人才需求清单，拓宽国际人才招揽渠道。</w:t>
      </w:r>
      <w:bookmarkStart w:id="7" w:name="_Hlk20940123"/>
    </w:p>
    <w:p>
      <w:pPr>
        <w:pStyle w:val="Normal"/>
        <w:widowControl/>
        <w:spacing w:lineRule="exact" w:line="560"/>
        <w:ind w:firstLineChars="200" w:startChars="0" w:start="0" w:endChars="0" w:end="0"/>
        <w:textAlignment w:val="baseline"/>
        <w:rPr>
          <w:rFonts w:ascii="黑体" w:hAnsi="黑体" w:eastAsia="黑体" w:cs="宋体" w:hint="eastAsia"/>
          <w:bCs/>
          <w:w w:val="100"/>
          <w:sz w:val="32"/>
          <w:szCs w:val="32"/>
          <w:highlight w:val="none"/>
        </w:rPr>
      </w:pPr>
      <w:r>
        <w:rPr>
          <w:rFonts w:ascii="仿宋_GB2312" w:hAnsi="仿宋_GB2312" w:cs="宋体" w:hint="eastAsia" w:eastAsia="仿宋_GB2312"/>
          <w:bCs/>
          <w:w w:val="100"/>
          <w:sz w:val="32"/>
          <w:szCs w:val="32"/>
          <w:shd w:fill="FFFFFF" w:val="clear"/>
        </w:rPr>
        <w:t>建立国际人才公共服务平台</w:t>
      </w:r>
      <w:bookmarkEnd w:id="7"/>
      <w:r>
        <w:rPr>
          <w:rFonts w:ascii="仿宋_GB2312" w:hAnsi="仿宋_GB2312" w:cs="宋体" w:hint="eastAsia" w:eastAsia="仿宋_GB2312"/>
          <w:bCs/>
          <w:w w:val="100"/>
          <w:sz w:val="32"/>
          <w:szCs w:val="32"/>
          <w:shd w:fill="FFFFFF" w:val="clear"/>
        </w:rPr>
        <w:t>，集中办理补贴奖励、住房保障、教育医疗、出入境以及居留证照等服务事项。</w:t>
      </w:r>
    </w:p>
    <w:p>
      <w:pPr>
        <w:pStyle w:val="Normal"/>
        <w:widowControl/>
        <w:spacing w:lineRule="exact" w:line="560"/>
        <w:ind w:firstLineChars="200" w:startChars="0" w:start="0" w:endChars="0" w:end="0"/>
        <w:textAlignment w:val="baseline"/>
        <w:rPr>
          <w:rFonts w:ascii="仿宋_GB2312" w:hAnsi="仿宋_GB2312" w:eastAsia="仿宋_GB2312" w:cs="宋体" w:hint="eastAsia"/>
          <w:bCs/>
          <w:w w:val="100"/>
          <w:sz w:val="32"/>
          <w:szCs w:val="32"/>
          <w:highlight w:val="none"/>
          <w:shd w:fill="FFFFFF" w:val="clear"/>
        </w:rPr>
      </w:pPr>
      <w:r>
        <w:rPr>
          <w:rFonts w:ascii="黑体" w:hAnsi="黑体" w:cs="宋体" w:hint="eastAsia" w:eastAsia="黑体"/>
          <w:bCs/>
          <w:w w:val="100"/>
          <w:sz w:val="32"/>
          <w:szCs w:val="32"/>
        </w:rPr>
        <w:t>第</w:t>
      </w:r>
      <w:r>
        <w:rPr>
          <w:rFonts w:ascii="黑体" w:hAnsi="黑体" w:cs="宋体" w:hint="eastAsia" w:eastAsia="黑体"/>
          <w:bCs/>
          <w:i w:val="false"/>
          <w:iCs w:val="false"/>
          <w:w w:val="100"/>
          <w:sz w:val="32"/>
          <w:szCs w:val="32"/>
          <w:u w:val="none"/>
        </w:rPr>
        <w:t>四十六</w:t>
      </w:r>
      <w:r>
        <w:rPr>
          <w:rFonts w:ascii="黑体" w:hAnsi="黑体" w:cs="宋体" w:hint="eastAsia" w:eastAsia="黑体"/>
          <w:bCs/>
          <w:w w:val="100"/>
          <w:sz w:val="32"/>
          <w:szCs w:val="32"/>
        </w:rPr>
        <w:t xml:space="preserve">条  </w:t>
      </w:r>
      <w:r>
        <w:rPr>
          <w:rFonts w:ascii="仿宋_GB2312" w:hAnsi="仿宋_GB2312" w:cs="宋体" w:hint="eastAsia" w:eastAsia="仿宋_GB2312"/>
          <w:bCs/>
          <w:w w:val="100"/>
          <w:sz w:val="32"/>
          <w:szCs w:val="32"/>
          <w:shd w:fill="FFFFFF" w:val="clear"/>
        </w:rPr>
        <w:t>支持自贸片区开展技术移民试点，简化外籍人才在自贸片区工作、出入境、停居留等手续。</w:t>
      </w:r>
    </w:p>
    <w:p>
      <w:pPr>
        <w:pStyle w:val="Normal"/>
        <w:widowControl/>
        <w:spacing w:lineRule="exact" w:line="560"/>
        <w:ind w:firstLineChars="200" w:startChars="0" w:start="0" w:endChars="0" w:end="0"/>
        <w:textAlignment w:val="baseline"/>
        <w:rPr>
          <w:rFonts w:ascii="仿宋_GB2312" w:hAnsi="仿宋_GB2312" w:eastAsia="仿宋_GB2312" w:cs="宋体" w:hint="eastAsia"/>
          <w:bCs/>
          <w:w w:val="100"/>
          <w:sz w:val="32"/>
          <w:szCs w:val="32"/>
          <w:highlight w:val="none"/>
          <w:shd w:fill="FFFFFF" w:val="clear"/>
        </w:rPr>
      </w:pPr>
      <w:r>
        <w:rPr>
          <w:rFonts w:ascii="仿宋_GB2312" w:hAnsi="仿宋_GB2312" w:cs="宋体" w:hint="eastAsia" w:eastAsia="仿宋_GB2312"/>
          <w:bCs/>
          <w:w w:val="100"/>
          <w:sz w:val="32"/>
          <w:szCs w:val="32"/>
          <w:shd w:fill="FFFFFF" w:val="clear"/>
        </w:rPr>
        <w:t>支持自贸片区外籍技术人才申请在华永久居留。</w:t>
      </w:r>
    </w:p>
    <w:p>
      <w:pPr>
        <w:pStyle w:val="Normal"/>
        <w:widowControl/>
        <w:spacing w:lineRule="exact" w:line="560"/>
        <w:ind w:firstLineChars="200" w:startChars="0" w:start="0" w:endChars="0" w:end="0"/>
        <w:textAlignment w:val="baseline"/>
        <w:rPr>
          <w:rFonts w:ascii="仿宋_GB2312" w:hAnsi="仿宋_GB2312" w:eastAsia="仿宋_GB2312" w:cs="宋体" w:hint="eastAsia"/>
          <w:bCs/>
          <w:w w:val="100"/>
          <w:sz w:val="32"/>
          <w:szCs w:val="32"/>
          <w:highlight w:val="none"/>
          <w:shd w:fill="FFFFFF" w:val="clear"/>
        </w:rPr>
      </w:pPr>
      <w:r>
        <w:rPr>
          <w:rFonts w:ascii="黑体" w:hAnsi="黑体" w:cs="宋体" w:hint="eastAsia" w:eastAsia="黑体"/>
          <w:bCs/>
          <w:w w:val="100"/>
          <w:sz w:val="32"/>
          <w:szCs w:val="32"/>
        </w:rPr>
        <w:t>第</w:t>
      </w:r>
      <w:r>
        <w:rPr>
          <w:rFonts w:ascii="黑体" w:hAnsi="黑体" w:cs="宋体" w:hint="eastAsia" w:eastAsia="黑体"/>
          <w:bCs/>
          <w:i w:val="false"/>
          <w:iCs w:val="false"/>
          <w:w w:val="100"/>
          <w:sz w:val="32"/>
          <w:szCs w:val="32"/>
          <w:u w:val="none"/>
        </w:rPr>
        <w:t>四十七</w:t>
      </w:r>
      <w:r>
        <w:rPr>
          <w:rFonts w:ascii="黑体" w:hAnsi="黑体" w:cs="宋体" w:hint="eastAsia" w:eastAsia="黑体"/>
          <w:bCs/>
          <w:w w:val="100"/>
          <w:sz w:val="32"/>
          <w:szCs w:val="32"/>
        </w:rPr>
        <w:t xml:space="preserve">条  </w:t>
      </w:r>
      <w:r>
        <w:rPr>
          <w:rFonts w:ascii="仿宋_GB2312" w:hAnsi="仿宋_GB2312" w:cs="宋体" w:hint="eastAsia" w:eastAsia="仿宋_GB2312"/>
          <w:bCs/>
          <w:w w:val="100"/>
          <w:sz w:val="32"/>
          <w:szCs w:val="32"/>
          <w:shd w:fill="FFFFFF" w:val="clear"/>
        </w:rPr>
        <w:t xml:space="preserve">具有境外职业资格的金融、税务、建筑、规划、会计、法律、设计、专利代理、导游等领域专业人才可以在自贸片区依法提供服务，其境外从业经历可以视同境内从业经历。具体办法由管委会会同相关行业主管部门制定。 </w:t>
      </w:r>
    </w:p>
    <w:p>
      <w:pPr>
        <w:pStyle w:val="Normal"/>
        <w:widowControl/>
        <w:spacing w:lineRule="exact" w:line="560"/>
        <w:ind w:firstLineChars="200" w:startChars="0" w:start="0" w:endChars="0" w:end="0"/>
        <w:textAlignment w:val="baseline"/>
        <w:rPr>
          <w:rFonts w:ascii="仿宋_GB2312" w:hAnsi="仿宋_GB2312" w:eastAsia="仿宋_GB2312" w:cs="宋体" w:hint="eastAsia"/>
          <w:bCs/>
          <w:w w:val="100"/>
          <w:sz w:val="32"/>
          <w:szCs w:val="32"/>
          <w:highlight w:val="none"/>
          <w:shd w:fill="FFFFFF" w:val="clear"/>
        </w:rPr>
      </w:pPr>
      <w:r>
        <w:rPr>
          <w:rFonts w:ascii="仿宋_GB2312" w:hAnsi="仿宋_GB2312" w:cs="宋体" w:hint="eastAsia" w:eastAsia="仿宋_GB2312"/>
          <w:bCs/>
          <w:w w:val="100"/>
          <w:sz w:val="32"/>
          <w:szCs w:val="32"/>
          <w:shd w:fill="FFFFFF" w:val="clear"/>
        </w:rPr>
        <w:t>除涉及国家主权和安全的职业外，允许境外人员在自贸片区申请参加国家相关职业资格考试。</w:t>
      </w:r>
    </w:p>
    <w:p>
      <w:pPr>
        <w:pStyle w:val="Normal"/>
        <w:spacing w:lineRule="exact" w:line="560"/>
        <w:ind w:firstLineChars="200" w:startChars="0" w:start="0" w:endChars="0" w:end="0"/>
        <w:rPr>
          <w:rFonts w:ascii="仿宋_GB2312" w:hAnsi="仿宋_GB2312" w:eastAsia="仿宋_GB2312" w:cs="宋体" w:hint="eastAsia"/>
          <w:bCs/>
          <w:w w:val="100"/>
          <w:sz w:val="32"/>
          <w:szCs w:val="32"/>
          <w:highlight w:val="none"/>
          <w:shd w:fill="FFFFFF" w:val="clear"/>
        </w:rPr>
      </w:pPr>
      <w:r>
        <w:rPr>
          <w:rFonts w:ascii="黑体" w:hAnsi="黑体" w:cs="宋体" w:hint="eastAsia" w:eastAsia="黑体"/>
          <w:bCs/>
          <w:w w:val="100"/>
          <w:sz w:val="32"/>
          <w:szCs w:val="32"/>
        </w:rPr>
        <w:t xml:space="preserve">第四十八条  </w:t>
      </w:r>
      <w:r>
        <w:rPr>
          <w:rFonts w:ascii="仿宋_GB2312" w:hAnsi="仿宋_GB2312" w:cs="宋体" w:hint="eastAsia" w:eastAsia="仿宋_GB2312"/>
          <w:bCs/>
          <w:w w:val="100"/>
          <w:sz w:val="32"/>
          <w:szCs w:val="32"/>
          <w:shd w:fill="FFFFFF" w:val="clear"/>
        </w:rPr>
        <w:t>支持自贸片区探索国际互联网业务创新，推动数据跨境流动以及信息基础设施建设，营造国际化信息通信环境。</w:t>
      </w:r>
    </w:p>
    <w:p>
      <w:pPr>
        <w:pStyle w:val="Normal"/>
        <w:spacing w:lineRule="exact" w:line="560"/>
        <w:ind w:firstLineChars="200" w:startChars="0" w:start="0" w:endChars="0" w:end="0"/>
        <w:jc w:val="both"/>
        <w:rPr>
          <w:rFonts w:ascii="仿宋_GB2312" w:hAnsi="仿宋_GB2312" w:eastAsia="仿宋_GB2312" w:cs="宋体" w:hint="eastAsia"/>
          <w:bCs/>
          <w:w w:val="100"/>
          <w:sz w:val="32"/>
          <w:szCs w:val="32"/>
          <w:highlight w:val="none"/>
          <w:shd w:fill="FFFFFF" w:val="clear"/>
        </w:rPr>
      </w:pPr>
      <w:r>
        <w:rPr>
          <w:rFonts w:ascii="黑体" w:hAnsi="黑体" w:cs="宋体" w:hint="eastAsia" w:eastAsia="黑体"/>
          <w:bCs/>
          <w:w w:val="100"/>
          <w:sz w:val="32"/>
          <w:szCs w:val="32"/>
        </w:rPr>
        <w:t xml:space="preserve">第四十九条  </w:t>
      </w:r>
      <w:r>
        <w:rPr>
          <w:rFonts w:ascii="仿宋_GB2312" w:hAnsi="仿宋_GB2312" w:cs="宋体" w:hint="eastAsia" w:eastAsia="仿宋_GB2312"/>
          <w:bCs/>
          <w:w w:val="100"/>
          <w:sz w:val="32"/>
          <w:szCs w:val="32"/>
          <w:shd w:fill="FFFFFF" w:val="clear"/>
        </w:rPr>
        <w:t>支持发展企业征信、信用评级、信用担保和信用咨询等信用服务；鼓励信用服务机构依法利用数据库信息开发信用产品。</w:t>
      </w:r>
    </w:p>
    <w:p>
      <w:pPr>
        <w:pStyle w:val="Normal"/>
        <w:spacing w:lineRule="exact" w:line="560"/>
        <w:ind w:firstLineChars="200" w:startChars="0" w:start="0" w:endChars="0" w:end="0"/>
        <w:jc w:val="both"/>
        <w:rPr>
          <w:rFonts w:ascii="仿宋_GB2312" w:hAnsi="仿宋_GB2312" w:eastAsia="仿宋_GB2312" w:cs="宋体" w:hint="eastAsia"/>
          <w:bCs/>
          <w:w w:val="100"/>
          <w:sz w:val="32"/>
          <w:szCs w:val="32"/>
          <w:highlight w:val="none"/>
          <w:shd w:fill="FFFFFF" w:val="clear"/>
        </w:rPr>
      </w:pPr>
      <w:r>
        <w:rPr>
          <w:rFonts w:ascii="黑体" w:hAnsi="黑体" w:cs="宋体" w:hint="eastAsia" w:eastAsia="黑体"/>
          <w:bCs/>
          <w:w w:val="100"/>
          <w:sz w:val="32"/>
          <w:szCs w:val="32"/>
        </w:rPr>
        <w:t>第五十条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bCs/>
          <w:w w:val="100"/>
          <w:sz w:val="32"/>
          <w:szCs w:val="32"/>
          <w:shd w:fill="FFFFFF" w:val="clear"/>
        </w:rPr>
        <w:t>自贸片区医疗机构临床急需的药品、医疗器械，在港澳已经批准上市但是尚未获境内注册批准的，可以在指定的自贸片区医疗机构使用。具体管理办法由市人民政府制定。</w:t>
      </w:r>
    </w:p>
    <w:p>
      <w:pPr>
        <w:pStyle w:val="Normal"/>
        <w:spacing w:lineRule="exact" w:line="560"/>
        <w:ind w:firstLineChars="200" w:startChars="0" w:start="0" w:endChars="0" w:end="0"/>
        <w:jc w:val="both"/>
        <w:rPr>
          <w:rFonts w:ascii="仿宋_GB2312" w:hAnsi="仿宋_GB2312" w:eastAsia="仿宋_GB2312" w:cs="宋体" w:hint="eastAsia"/>
          <w:bCs/>
          <w:w w:val="100"/>
          <w:sz w:val="32"/>
          <w:szCs w:val="32"/>
          <w:highlight w:val="none"/>
          <w:shd w:fill="FFFFFF" w:val="clear"/>
        </w:rPr>
      </w:pPr>
      <w:r>
        <w:rPr>
          <w:rFonts w:ascii="仿宋_GB2312" w:hAnsi="仿宋_GB2312" w:cs="宋体" w:hint="eastAsia" w:eastAsia="仿宋_GB2312"/>
          <w:bCs/>
          <w:w w:val="100"/>
          <w:sz w:val="32"/>
          <w:szCs w:val="32"/>
          <w:shd w:fill="FFFFFF" w:val="clear"/>
        </w:rPr>
        <w:t>港澳医师和护士经备案后可以在自贸片区多点执业，其在自贸片区执业注册的有效期应当与医疗机构签订的应聘协议相同。</w:t>
      </w:r>
    </w:p>
    <w:p>
      <w:pPr>
        <w:pStyle w:val="Normal"/>
        <w:spacing w:lineRule="exact" w:line="560"/>
        <w:ind w:firstLineChars="200" w:startChars="0" w:start="0" w:endChars="0" w:end="0"/>
        <w:rPr>
          <w:rFonts w:ascii="仿宋_GB2312" w:hAnsi="仿宋_GB2312" w:eastAsia="仿宋_GB2312" w:cs="宋体" w:hint="eastAsia"/>
          <w:bCs/>
          <w:w w:val="100"/>
          <w:sz w:val="32"/>
          <w:szCs w:val="32"/>
          <w:highlight w:val="none"/>
          <w:shd w:fill="FFFFFF" w:val="clear"/>
        </w:rPr>
      </w:pPr>
      <w:r>
        <w:rPr>
          <w:rFonts w:ascii="黑体" w:hAnsi="黑体" w:cs="黑体" w:hint="eastAsia" w:eastAsia="黑体"/>
          <w:bCs/>
          <w:w w:val="100"/>
          <w:sz w:val="32"/>
          <w:szCs w:val="32"/>
        </w:rPr>
        <w:t xml:space="preserve">第五十一条  </w:t>
      </w:r>
      <w:r>
        <w:rPr>
          <w:rFonts w:ascii="仿宋_GB2312" w:hAnsi="仿宋_GB2312" w:cs="宋体" w:hint="eastAsia" w:eastAsia="仿宋_GB2312"/>
          <w:bCs/>
          <w:w w:val="100"/>
          <w:sz w:val="32"/>
          <w:szCs w:val="32"/>
          <w:shd w:fill="FFFFFF" w:val="clear"/>
        </w:rPr>
        <w:t>自贸片区内医疗机构和科研机构可以根据自身的技术能力，按照有关规定开展干细胞、免疫细胞、基因治疗以及单抗药物、组织工程等新技术研究和转化应用。</w:t>
      </w:r>
      <w:bookmarkStart w:id="8" w:name="_Hlk15031398"/>
    </w:p>
    <w:p>
      <w:pPr>
        <w:pStyle w:val="Normal"/>
        <w:spacing w:lineRule="exact" w:line="560"/>
        <w:ind w:firstLineChars="200" w:startChars="0" w:start="0" w:endChars="0" w:end="0"/>
        <w:rPr>
          <w:rFonts w:ascii="仿宋_GB2312" w:hAnsi="仿宋_GB2312" w:eastAsia="仿宋_GB2312" w:cs="仿宋" w:hint="eastAsia"/>
          <w:bCs/>
          <w:w w:val="100"/>
          <w:sz w:val="32"/>
          <w:szCs w:val="32"/>
          <w:highlight w:val="none"/>
        </w:rPr>
      </w:pPr>
      <w:bookmarkStart w:id="9" w:name="_Hlk14942448"/>
      <w:bookmarkEnd w:id="8"/>
      <w:r>
        <w:rPr>
          <w:rFonts w:ascii="黑体" w:hAnsi="黑体" w:cs="宋体" w:hint="eastAsia" w:eastAsia="黑体"/>
          <w:bCs/>
          <w:w w:val="100"/>
          <w:sz w:val="32"/>
          <w:szCs w:val="32"/>
        </w:rPr>
        <w:t>第五十二条</w:t>
      </w:r>
      <w:r>
        <w:rPr>
          <w:rFonts w:ascii="仿宋_GB2312" w:hAnsi="仿宋_GB2312" w:cs="宋体" w:hint="eastAsia" w:eastAsia="仿宋_GB2312"/>
          <w:bCs/>
          <w:w w:val="100"/>
          <w:sz w:val="32"/>
          <w:szCs w:val="32"/>
        </w:rPr>
        <w:t xml:space="preserve">  </w:t>
      </w:r>
      <w:r>
        <w:rPr>
          <w:rFonts w:ascii="仿宋_GB2312" w:hAnsi="仿宋_GB2312" w:cs="仿宋" w:hint="eastAsia" w:eastAsia="仿宋_GB2312"/>
          <w:bCs/>
          <w:w w:val="100"/>
          <w:sz w:val="32"/>
          <w:szCs w:val="32"/>
        </w:rPr>
        <w:t>自贸片区应当加强与其他区域的联动发展，协同开展投资、贸易、金融等领域的制度创新，协调政策支持措施，强化跨区域联动试验和经验交流。</w:t>
      </w:r>
    </w:p>
    <w:p>
      <w:pPr>
        <w:pStyle w:val="Normal"/>
        <w:spacing w:lineRule="exact" w:line="560"/>
        <w:ind w:firstLineChars="200" w:startChars="0" w:start="0" w:endChars="0" w:end="0"/>
        <w:rPr>
          <w:rFonts w:ascii="仿宋_GB2312" w:hAnsi="仿宋_GB2312" w:eastAsia="仿宋_GB2312" w:cs="楷体" w:hint="eastAsia"/>
          <w:bCs/>
          <w:w w:val="100"/>
          <w:sz w:val="32"/>
          <w:szCs w:val="32"/>
          <w:highlight w:val="none"/>
        </w:rPr>
      </w:pPr>
      <w:r>
        <w:rPr>
          <w:rFonts w:eastAsia="仿宋_GB2312" w:cs="楷体" w:hint="eastAsia" w:ascii="仿宋_GB2312" w:hAnsi="仿宋_GB2312"/>
          <w:bCs/>
          <w:w w:val="100"/>
          <w:sz w:val="32"/>
          <w:szCs w:val="32"/>
        </w:rPr>
      </w:r>
    </w:p>
    <w:p>
      <w:pPr>
        <w:pStyle w:val="Normal"/>
        <w:spacing w:lineRule="exact" w:line="560"/>
        <w:jc w:val="center"/>
        <w:rPr>
          <w:rFonts w:ascii="黑体" w:hAnsi="黑体" w:eastAsia="黑体" w:cs="宋体" w:hint="eastAsia"/>
          <w:bCs/>
          <w:w w:val="100"/>
          <w:sz w:val="32"/>
          <w:szCs w:val="32"/>
          <w:highlight w:val="none"/>
        </w:rPr>
      </w:pPr>
      <w:r>
        <w:rPr>
          <w:rFonts w:ascii="黑体" w:hAnsi="黑体" w:cs="宋体" w:hint="eastAsia" w:eastAsia="黑体"/>
          <w:bCs/>
          <w:w w:val="100"/>
          <w:sz w:val="32"/>
          <w:szCs w:val="32"/>
        </w:rPr>
        <w:t>第七章  法治环境</w:t>
      </w:r>
    </w:p>
    <w:p>
      <w:pPr>
        <w:pStyle w:val="Normal"/>
        <w:spacing w:lineRule="exact" w:line="560"/>
        <w:jc w:val="center"/>
        <w:rPr>
          <w:rFonts w:ascii="仿宋_GB2312" w:hAnsi="仿宋_GB2312" w:eastAsia="仿宋_GB2312" w:cs="宋体" w:hint="eastAsia"/>
          <w:bCs/>
          <w:w w:val="100"/>
          <w:sz w:val="32"/>
          <w:szCs w:val="32"/>
          <w:highlight w:val="none"/>
        </w:rPr>
      </w:pPr>
      <w:r>
        <w:rPr>
          <w:rFonts w:eastAsia="仿宋_GB2312" w:cs="宋体" w:hint="eastAsia" w:ascii="仿宋_GB2312" w:hAnsi="仿宋_GB2312"/>
          <w:bCs/>
          <w:w w:val="100"/>
          <w:sz w:val="32"/>
          <w:szCs w:val="32"/>
        </w:rPr>
      </w:r>
    </w:p>
    <w:p>
      <w:pPr>
        <w:pStyle w:val="Normal"/>
        <w:spacing w:lineRule="exact" w:line="560"/>
        <w:ind w:firstLineChars="200" w:startChars="0" w:start="0" w:endChars="0" w:end="0"/>
        <w:rPr>
          <w:rFonts w:ascii="仿宋_GB2312" w:hAnsi="仿宋_GB2312" w:eastAsia="仿宋_GB2312" w:cs="楷体" w:hint="eastAsia"/>
          <w:b/>
          <w:bCs/>
          <w:w w:val="100"/>
          <w:sz w:val="32"/>
          <w:szCs w:val="32"/>
          <w:highlight w:val="none"/>
        </w:rPr>
      </w:pPr>
      <w:bookmarkStart w:id="10" w:name="_Hlk17281824"/>
      <w:bookmarkEnd w:id="9"/>
      <w:r>
        <w:rPr>
          <w:rFonts w:ascii="黑体" w:hAnsi="黑体" w:cs="宋体" w:hint="eastAsia" w:eastAsia="黑体"/>
          <w:bCs/>
          <w:w w:val="100"/>
          <w:sz w:val="32"/>
          <w:szCs w:val="32"/>
        </w:rPr>
        <w:t>第</w:t>
      </w:r>
      <w:bookmarkEnd w:id="10"/>
      <w:r>
        <w:rPr>
          <w:rFonts w:ascii="黑体" w:hAnsi="黑体" w:cs="宋体" w:hint="eastAsia" w:eastAsia="黑体"/>
          <w:bCs/>
          <w:w w:val="100"/>
          <w:sz w:val="32"/>
          <w:szCs w:val="32"/>
        </w:rPr>
        <w:t xml:space="preserve">五十三条 </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bCs/>
          <w:w w:val="100"/>
          <w:sz w:val="32"/>
          <w:szCs w:val="32"/>
          <w:shd w:fill="FFFFFF" w:val="clear"/>
        </w:rPr>
        <w:t>支持自贸片区按照先行先试、协同推进、法治引领原则，全面提升法治建设水平，用法治规范政府和市场边界，营造稳定、公平、</w:t>
      </w:r>
      <w:r>
        <w:rPr>
          <w:rFonts w:ascii="仿宋_GB2312" w:hAnsi="仿宋_GB2312" w:cs="宋体" w:hint="eastAsia" w:eastAsia="仿宋_GB2312"/>
          <w:bCs/>
          <w:w w:val="100"/>
          <w:sz w:val="32"/>
          <w:szCs w:val="32"/>
          <w:shd w:fill="FFFFFF" w:val="clear"/>
        </w:rPr>
        <w:t>透明、可预期的国际一流法治化营商环境。</w:t>
      </w:r>
    </w:p>
    <w:p>
      <w:pPr>
        <w:pStyle w:val="Normal"/>
        <w:spacing w:lineRule="exact" w:line="560"/>
        <w:ind w:firstLineChars="200" w:startChars="0" w:start="0" w:endChars="0" w:end="0"/>
        <w:rPr>
          <w:rFonts w:ascii="仿宋_GB2312" w:hAnsi="仿宋_GB2312" w:eastAsia="仿宋_GB2312" w:cs="黑体" w:hint="eastAsia"/>
          <w:bCs/>
          <w:w w:val="100"/>
          <w:sz w:val="32"/>
          <w:szCs w:val="32"/>
          <w:highlight w:val="none"/>
        </w:rPr>
      </w:pPr>
      <w:r>
        <w:rPr>
          <w:rFonts w:ascii="黑体" w:hAnsi="黑体" w:cs="宋体" w:hint="eastAsia" w:eastAsia="黑体"/>
          <w:bCs/>
          <w:w w:val="100"/>
          <w:sz w:val="32"/>
          <w:szCs w:val="32"/>
        </w:rPr>
        <w:t>第五十四条</w:t>
      </w:r>
      <w:r>
        <w:rPr>
          <w:rFonts w:ascii="仿宋_GB2312" w:hAnsi="仿宋_GB2312" w:cs="宋体" w:hint="eastAsia" w:eastAsia="仿宋_GB2312"/>
          <w:bCs/>
          <w:w w:val="100"/>
          <w:sz w:val="32"/>
          <w:szCs w:val="32"/>
        </w:rPr>
        <w:t xml:space="preserve">  </w:t>
      </w:r>
      <w:r>
        <w:rPr>
          <w:rFonts w:ascii="仿宋_GB2312" w:hAnsi="仿宋_GB2312" w:cs="仿宋" w:hint="eastAsia" w:eastAsia="仿宋_GB2312"/>
          <w:bCs/>
          <w:w w:val="100"/>
          <w:sz w:val="32"/>
          <w:szCs w:val="32"/>
        </w:rPr>
        <w:t>深圳市人民代表大会及其常务委员会制定的法规有关规定不适应自贸片区发展需要的，市人民政府可以提请市人民代表大会常务委员会决定在自贸片区暂时调整或者暂时停止适用相关规定。深圳市人民政府规章有关规定不适应自贸片区发展需要的，管委会可以提请市人民政府决定在自贸片区暂时调整或者暂时停止适用相关规定。</w:t>
      </w:r>
    </w:p>
    <w:p>
      <w:pPr>
        <w:pStyle w:val="Normal"/>
        <w:spacing w:lineRule="exact" w:line="560"/>
        <w:ind w:firstLineChars="200" w:startChars="0" w:start="0" w:endChars="0" w:end="0"/>
        <w:rPr>
          <w:rFonts w:ascii="仿宋_GB2312" w:hAnsi="仿宋_GB2312" w:eastAsia="仿宋_GB2312" w:cs="仿宋" w:hint="eastAsia"/>
          <w:bCs/>
          <w:w w:val="100"/>
          <w:sz w:val="32"/>
          <w:szCs w:val="32"/>
          <w:highlight w:val="none"/>
        </w:rPr>
      </w:pPr>
      <w:bookmarkStart w:id="11" w:name="_Hlk14942368"/>
      <w:r>
        <w:rPr>
          <w:rFonts w:ascii="黑体" w:hAnsi="黑体" w:cs="宋体" w:hint="eastAsia" w:eastAsia="黑体"/>
          <w:bCs/>
          <w:w w:val="100"/>
          <w:sz w:val="32"/>
          <w:szCs w:val="32"/>
        </w:rPr>
        <w:t>第五十五条</w:t>
      </w:r>
      <w:r>
        <w:rPr>
          <w:rFonts w:ascii="仿宋_GB2312" w:hAnsi="仿宋_GB2312" w:cs="宋体" w:hint="eastAsia" w:eastAsia="仿宋_GB2312"/>
          <w:bCs/>
          <w:w w:val="100"/>
          <w:sz w:val="32"/>
          <w:szCs w:val="32"/>
        </w:rPr>
        <w:t xml:space="preserve">  </w:t>
      </w:r>
      <w:r>
        <w:rPr>
          <w:rFonts w:ascii="仿宋_GB2312" w:hAnsi="仿宋_GB2312" w:cs="仿宋" w:hint="eastAsia" w:eastAsia="仿宋_GB2312"/>
          <w:bCs/>
          <w:w w:val="100"/>
          <w:sz w:val="32"/>
          <w:szCs w:val="32"/>
        </w:rPr>
        <w:t>建立</w:t>
      </w:r>
      <w:r>
        <w:rPr>
          <w:rFonts w:ascii="仿宋_GB2312" w:hAnsi="仿宋_GB2312" w:cs="黑体" w:hint="eastAsia" w:eastAsia="仿宋_GB2312"/>
          <w:bCs/>
          <w:w w:val="100"/>
          <w:sz w:val="32"/>
          <w:szCs w:val="32"/>
        </w:rPr>
        <w:t>自贸片区法治环境评估制度</w:t>
      </w:r>
      <w:r>
        <w:rPr>
          <w:rFonts w:ascii="黑体" w:hAnsi="黑体" w:cs="黑体" w:hint="eastAsia" w:eastAsia="黑体"/>
          <w:bCs/>
          <w:w w:val="100"/>
          <w:sz w:val="32"/>
          <w:szCs w:val="32"/>
        </w:rPr>
        <w:t>。</w:t>
      </w:r>
      <w:r>
        <w:rPr>
          <w:rFonts w:ascii="仿宋_GB2312" w:hAnsi="仿宋_GB2312" w:cs="黑体" w:hint="eastAsia" w:eastAsia="仿宋_GB2312"/>
          <w:bCs/>
          <w:w w:val="100"/>
          <w:sz w:val="32"/>
          <w:szCs w:val="32"/>
        </w:rPr>
        <w:t>管委会可以委托第三方对自贸片区法治环境进行</w:t>
      </w:r>
      <w:r>
        <w:rPr>
          <w:rFonts w:ascii="仿宋_GB2312" w:hAnsi="仿宋_GB2312" w:cs="仿宋" w:hint="eastAsia" w:eastAsia="仿宋_GB2312"/>
          <w:bCs/>
          <w:w w:val="100"/>
          <w:sz w:val="32"/>
          <w:szCs w:val="32"/>
        </w:rPr>
        <w:t>综合评估和专项评估，评估结果向社会公布。</w:t>
      </w:r>
    </w:p>
    <w:p>
      <w:pPr>
        <w:pStyle w:val="Normal"/>
        <w:spacing w:lineRule="exact" w:line="560"/>
        <w:ind w:firstLineChars="200" w:startChars="0" w:start="0" w:endChars="0" w:end="0"/>
        <w:rPr>
          <w:rFonts w:ascii="仿宋_GB2312" w:hAnsi="仿宋_GB2312" w:eastAsia="仿宋_GB2312" w:cs="黑体" w:hint="eastAsia"/>
          <w:bCs/>
          <w:w w:val="100"/>
          <w:sz w:val="32"/>
          <w:szCs w:val="32"/>
          <w:highlight w:val="none"/>
        </w:rPr>
      </w:pPr>
      <w:bookmarkEnd w:id="11"/>
      <w:r>
        <w:rPr>
          <w:rFonts w:ascii="黑体" w:hAnsi="黑体" w:cs="宋体" w:hint="eastAsia" w:eastAsia="黑体"/>
          <w:bCs/>
          <w:w w:val="100"/>
          <w:sz w:val="32"/>
          <w:szCs w:val="32"/>
        </w:rPr>
        <w:t>第五十六条</w:t>
      </w:r>
      <w:r>
        <w:rPr>
          <w:rFonts w:ascii="仿宋_GB2312" w:hAnsi="仿宋_GB2312" w:cs="黑体" w:hint="eastAsia" w:eastAsia="仿宋_GB2312"/>
          <w:bCs/>
          <w:w w:val="100"/>
          <w:sz w:val="32"/>
          <w:szCs w:val="32"/>
        </w:rPr>
        <w:t xml:space="preserve">  支持自贸片区国际商事审判专门组织建设，依法对与自贸片区相关的跨境交易、离岸交易等国际商事交易行使司法管辖权，探索受理没有连接点但是当事人约定管辖的国际商事案件。</w:t>
      </w:r>
    </w:p>
    <w:p>
      <w:pPr>
        <w:pStyle w:val="Normal"/>
        <w:spacing w:lineRule="exact" w:line="560"/>
        <w:ind w:firstLineChars="200" w:startChars="0" w:start="0" w:endChars="0" w:end="0"/>
        <w:rPr>
          <w:rFonts w:ascii="仿宋_GB2312" w:hAnsi="仿宋_GB2312" w:eastAsia="仿宋_GB2312" w:cs="黑体" w:hint="eastAsia"/>
          <w:bCs/>
          <w:w w:val="100"/>
          <w:sz w:val="32"/>
          <w:szCs w:val="32"/>
          <w:highlight w:val="none"/>
        </w:rPr>
      </w:pPr>
      <w:r>
        <w:rPr>
          <w:rFonts w:ascii="黑体" w:hAnsi="黑体" w:cs="宋体" w:hint="eastAsia" w:eastAsia="黑体"/>
          <w:bCs/>
          <w:w w:val="100"/>
          <w:sz w:val="32"/>
          <w:szCs w:val="32"/>
        </w:rPr>
        <w:t xml:space="preserve">第五十七条 </w:t>
      </w:r>
      <w:r>
        <w:rPr>
          <w:rFonts w:ascii="仿宋_GB2312" w:hAnsi="仿宋_GB2312" w:cs="黑体" w:hint="eastAsia" w:eastAsia="仿宋_GB2312"/>
          <w:bCs/>
          <w:w w:val="100"/>
          <w:sz w:val="32"/>
          <w:szCs w:val="32"/>
        </w:rPr>
        <w:t xml:space="preserve"> 依法保障离岸交易纠纷当事人自由选择适用外国法律或者国际商事通行规则、商事惯例的权利，但是违反我国法律基本原则或者损害国家主权、安全和社会公共利益的除外。</w:t>
      </w:r>
    </w:p>
    <w:p>
      <w:pPr>
        <w:pStyle w:val="Normal"/>
        <w:spacing w:lineRule="exact" w:line="560"/>
        <w:ind w:firstLineChars="200" w:startChars="0" w:start="0" w:endChars="0" w:end="0"/>
        <w:rPr>
          <w:rFonts w:ascii="仿宋_GB2312" w:hAnsi="仿宋_GB2312" w:eastAsia="仿宋_GB2312" w:cs="黑体" w:hint="eastAsia"/>
          <w:bCs/>
          <w:w w:val="100"/>
          <w:sz w:val="32"/>
          <w:szCs w:val="32"/>
          <w:highlight w:val="none"/>
        </w:rPr>
      </w:pPr>
      <w:r>
        <w:rPr>
          <w:rFonts w:ascii="仿宋_GB2312" w:hAnsi="仿宋_GB2312" w:cs="黑体" w:hint="eastAsia" w:eastAsia="仿宋_GB2312"/>
          <w:bCs/>
          <w:w w:val="100"/>
          <w:sz w:val="32"/>
          <w:szCs w:val="32"/>
        </w:rPr>
        <w:t>鼓励当事人协议选择自贸片区国际商事审判专门组织管辖。</w:t>
      </w:r>
    </w:p>
    <w:p>
      <w:pPr>
        <w:pStyle w:val="Normal"/>
        <w:widowControl/>
        <w:spacing w:lineRule="exact" w:line="560"/>
        <w:ind w:firstLineChars="200" w:startChars="0" w:start="0" w:endChars="0" w:end="0"/>
        <w:rPr>
          <w:rFonts w:ascii="仿宋_GB2312" w:hAnsi="仿宋_GB2312" w:eastAsia="仿宋_GB2312" w:cs="宋体" w:hint="eastAsia"/>
          <w:bCs/>
          <w:w w:val="100"/>
          <w:sz w:val="32"/>
          <w:szCs w:val="32"/>
          <w:highlight w:val="none"/>
          <w:shd w:fill="FFFFFF" w:val="clear"/>
        </w:rPr>
      </w:pPr>
      <w:r>
        <w:rPr>
          <w:rFonts w:ascii="黑体" w:hAnsi="黑体" w:cs="宋体" w:hint="eastAsia" w:eastAsia="黑体"/>
          <w:bCs/>
          <w:w w:val="100"/>
          <w:sz w:val="32"/>
          <w:szCs w:val="32"/>
        </w:rPr>
        <w:t>第五十八条</w:t>
      </w:r>
      <w:r>
        <w:rPr>
          <w:rFonts w:ascii="仿宋_GB2312" w:hAnsi="仿宋_GB2312" w:cs="宋体" w:hint="eastAsia" w:eastAsia="仿宋_GB2312"/>
          <w:bCs/>
          <w:w w:val="100"/>
          <w:sz w:val="32"/>
          <w:szCs w:val="32"/>
        </w:rPr>
        <w:t xml:space="preserve">  </w:t>
      </w:r>
      <w:r>
        <w:rPr>
          <w:rFonts w:ascii="仿宋_GB2312" w:hAnsi="仿宋_GB2312" w:cs="宋体" w:hint="eastAsia" w:eastAsia="仿宋_GB2312"/>
          <w:bCs/>
          <w:w w:val="100"/>
          <w:sz w:val="32"/>
          <w:szCs w:val="32"/>
          <w:shd w:fill="FFFFFF" w:val="clear"/>
        </w:rPr>
        <w:t>支持自贸片区司法机关聘请符合条件的</w:t>
      </w:r>
      <w:bookmarkStart w:id="12" w:name="_Hlk20952427"/>
      <w:bookmarkStart w:id="13" w:name="_Hlk20952819"/>
      <w:r>
        <w:rPr>
          <w:rFonts w:ascii="仿宋_GB2312" w:hAnsi="仿宋_GB2312" w:cs="宋体" w:hint="eastAsia" w:eastAsia="仿宋_GB2312"/>
          <w:bCs/>
          <w:w w:val="100"/>
          <w:sz w:val="32"/>
          <w:szCs w:val="32"/>
          <w:shd w:fill="FFFFFF" w:val="clear"/>
        </w:rPr>
        <w:t>港澳法律专业人士</w:t>
      </w:r>
      <w:bookmarkEnd w:id="13"/>
      <w:r>
        <w:rPr>
          <w:rFonts w:ascii="仿宋_GB2312" w:hAnsi="仿宋_GB2312" w:cs="宋体" w:hint="eastAsia" w:eastAsia="仿宋_GB2312"/>
          <w:bCs/>
          <w:w w:val="100"/>
          <w:sz w:val="32"/>
          <w:szCs w:val="32"/>
          <w:shd w:fill="FFFFFF" w:val="clear"/>
        </w:rPr>
        <w:t>依照有关规定参与办理涉外案件</w:t>
      </w:r>
      <w:bookmarkEnd w:id="12"/>
      <w:r>
        <w:rPr>
          <w:rFonts w:ascii="仿宋_GB2312" w:hAnsi="仿宋_GB2312" w:cs="宋体" w:hint="eastAsia" w:eastAsia="仿宋_GB2312"/>
          <w:bCs/>
          <w:w w:val="100"/>
          <w:sz w:val="32"/>
          <w:szCs w:val="32"/>
          <w:shd w:fill="FFFFFF" w:val="clear"/>
        </w:rPr>
        <w:t>，遴选精通国际贸易规则以及金融、知识产权和国际商事规则的专家型法官和检察官。</w:t>
      </w:r>
    </w:p>
    <w:p>
      <w:pPr>
        <w:pStyle w:val="Normal"/>
        <w:widowControl/>
        <w:snapToGrid w:val="false"/>
        <w:spacing w:lineRule="exact" w:line="560"/>
        <w:ind w:firstLineChars="200" w:startChars="0" w:start="0" w:endChars="0" w:end="0"/>
        <w:rPr>
          <w:rFonts w:ascii="仿宋_GB2312" w:hAnsi="仿宋_GB2312" w:eastAsia="仿宋_GB2312" w:cs="黑体" w:hint="eastAsia"/>
          <w:w w:val="100"/>
          <w:kern w:val="0"/>
          <w:sz w:val="32"/>
          <w:szCs w:val="32"/>
          <w:highlight w:val="none"/>
        </w:rPr>
      </w:pPr>
      <w:r>
        <w:rPr>
          <w:rFonts w:ascii="黑体" w:hAnsi="黑体" w:cs="宋体" w:hint="eastAsia" w:eastAsia="黑体"/>
          <w:bCs/>
          <w:w w:val="100"/>
          <w:sz w:val="32"/>
          <w:szCs w:val="32"/>
        </w:rPr>
        <w:t>第五十九条</w:t>
      </w:r>
      <w:r>
        <w:rPr>
          <w:rFonts w:ascii="仿宋_GB2312" w:hAnsi="仿宋_GB2312" w:cs="宋体" w:hint="eastAsia" w:eastAsia="仿宋_GB2312"/>
          <w:bCs/>
          <w:w w:val="100"/>
          <w:sz w:val="32"/>
          <w:szCs w:val="32"/>
        </w:rPr>
        <w:t xml:space="preserve">  </w:t>
      </w:r>
      <w:r>
        <w:rPr>
          <w:rFonts w:ascii="仿宋_GB2312" w:hAnsi="仿宋_GB2312" w:cs="黑体" w:hint="eastAsia" w:eastAsia="仿宋_GB2312"/>
          <w:w w:val="100"/>
          <w:kern w:val="0"/>
          <w:sz w:val="32"/>
          <w:szCs w:val="32"/>
        </w:rPr>
        <w:t>鼓励自贸片区仲裁机构借鉴国际商事仲裁惯例，完善与自贸片区特点相适应的仲裁规则，构建粤港澳大湾区国际仲裁高地</w:t>
      </w:r>
      <w:r>
        <w:rPr>
          <w:rFonts w:ascii="黑体" w:hAnsi="黑体" w:cs="黑体" w:hint="eastAsia" w:eastAsia="黑体"/>
          <w:w w:val="100"/>
          <w:kern w:val="0"/>
          <w:sz w:val="32"/>
          <w:szCs w:val="32"/>
        </w:rPr>
        <w:t>。</w:t>
      </w:r>
    </w:p>
    <w:p>
      <w:pPr>
        <w:pStyle w:val="Normal"/>
        <w:widowControl/>
        <w:snapToGrid w:val="false"/>
        <w:spacing w:lineRule="exact" w:line="560"/>
        <w:ind w:firstLineChars="200" w:startChars="0" w:start="0" w:endChars="0" w:end="0"/>
        <w:rPr>
          <w:rFonts w:ascii="仿宋_GB2312" w:hAnsi="仿宋_GB2312" w:eastAsia="仿宋_GB2312" w:cs="黑体" w:hint="eastAsia"/>
          <w:w w:val="100"/>
          <w:kern w:val="0"/>
          <w:sz w:val="32"/>
          <w:szCs w:val="32"/>
          <w:highlight w:val="none"/>
        </w:rPr>
      </w:pPr>
      <w:r>
        <w:rPr>
          <w:rFonts w:ascii="仿宋_GB2312" w:hAnsi="仿宋_GB2312" w:cs="黑体" w:hint="eastAsia" w:eastAsia="仿宋_GB2312"/>
          <w:w w:val="100"/>
          <w:kern w:val="0"/>
          <w:sz w:val="32"/>
          <w:szCs w:val="32"/>
        </w:rPr>
        <w:t>鼓励商事调解机构参与国际商事、海事、投资、知识产权等领域纠纷调解，形成调解、仲裁与诉讼相互衔接的多元化纠纷解决机制。</w:t>
      </w:r>
    </w:p>
    <w:p>
      <w:pPr>
        <w:pStyle w:val="Normal"/>
        <w:spacing w:lineRule="exact" w:line="560"/>
        <w:ind w:firstLineChars="200" w:startChars="0" w:start="0" w:endChars="0" w:end="0"/>
        <w:rPr>
          <w:rFonts w:ascii="仿宋_GB2312" w:hAnsi="仿宋_GB2312" w:eastAsia="仿宋_GB2312" w:cs="黑体" w:hint="eastAsia"/>
          <w:bCs/>
          <w:w w:val="100"/>
          <w:sz w:val="32"/>
          <w:szCs w:val="32"/>
          <w:highlight w:val="none"/>
        </w:rPr>
      </w:pPr>
      <w:r>
        <w:rPr>
          <w:rFonts w:ascii="黑体" w:hAnsi="黑体" w:cs="宋体" w:hint="eastAsia" w:eastAsia="黑体"/>
          <w:bCs/>
          <w:w w:val="100"/>
          <w:sz w:val="32"/>
          <w:szCs w:val="32"/>
        </w:rPr>
        <w:t xml:space="preserve">第六十条 </w:t>
      </w:r>
      <w:r>
        <w:rPr>
          <w:rFonts w:ascii="仿宋_GB2312" w:hAnsi="仿宋_GB2312" w:cs="黑体" w:hint="eastAsia" w:eastAsia="仿宋_GB2312"/>
          <w:bCs/>
          <w:w w:val="100"/>
          <w:kern w:val="0"/>
          <w:sz w:val="32"/>
          <w:szCs w:val="32"/>
        </w:rPr>
        <w:t xml:space="preserve"> 创新自贸片区知识产权保护工作机制，建立与国际接轨的知识产权综合管理和执法体制，健全知识产权</w:t>
      </w:r>
      <w:r>
        <w:rPr>
          <w:rFonts w:ascii="仿宋_GB2312" w:hAnsi="仿宋_GB2312" w:cs="黑体" w:hint="eastAsia" w:eastAsia="仿宋_GB2312"/>
          <w:bCs/>
          <w:w w:val="100"/>
          <w:sz w:val="32"/>
          <w:szCs w:val="32"/>
        </w:rPr>
        <w:t>维权机制</w:t>
      </w:r>
      <w:r>
        <w:rPr>
          <w:rFonts w:ascii="仿宋_GB2312" w:hAnsi="仿宋_GB2312" w:cs="黑体" w:hint="eastAsia" w:eastAsia="仿宋_GB2312"/>
          <w:bCs/>
          <w:w w:val="100"/>
          <w:kern w:val="0"/>
          <w:sz w:val="32"/>
          <w:szCs w:val="32"/>
        </w:rPr>
        <w:t>和多元化纠纷解决机制</w:t>
      </w:r>
      <w:r>
        <w:rPr>
          <w:rFonts w:ascii="仿宋_GB2312" w:hAnsi="仿宋_GB2312" w:cs="黑体" w:hint="eastAsia" w:eastAsia="仿宋_GB2312"/>
          <w:bCs/>
          <w:w w:val="100"/>
          <w:sz w:val="32"/>
          <w:szCs w:val="32"/>
        </w:rPr>
        <w:t>，打造知识产权保护工作示范区。</w:t>
      </w:r>
    </w:p>
    <w:p>
      <w:pPr>
        <w:pStyle w:val="Normal"/>
        <w:spacing w:lineRule="exact" w:line="560"/>
        <w:ind w:firstLineChars="200" w:startChars="0" w:start="0" w:endChars="0" w:end="0"/>
        <w:rPr>
          <w:rFonts w:ascii="仿宋_GB2312" w:hAnsi="仿宋_GB2312" w:eastAsia="仿宋_GB2312" w:cs="黑体" w:hint="eastAsia"/>
          <w:bCs/>
          <w:w w:val="100"/>
          <w:kern w:val="0"/>
          <w:sz w:val="32"/>
          <w:szCs w:val="32"/>
          <w:highlight w:val="none"/>
        </w:rPr>
      </w:pPr>
      <w:r>
        <w:rPr>
          <w:rFonts w:ascii="仿宋_GB2312" w:hAnsi="仿宋_GB2312" w:cs="黑体" w:hint="eastAsia" w:eastAsia="仿宋_GB2312"/>
          <w:bCs/>
          <w:w w:val="100"/>
          <w:sz w:val="32"/>
          <w:szCs w:val="32"/>
        </w:rPr>
        <w:t>强化海外知识产权维权体系建设，培育知识产权专业服务机构，支持发展海外知</w:t>
      </w:r>
      <w:r>
        <w:rPr>
          <w:rFonts w:ascii="仿宋_GB2312" w:hAnsi="仿宋_GB2312" w:cs="黑体" w:hint="eastAsia" w:eastAsia="仿宋_GB2312"/>
          <w:bCs/>
          <w:w w:val="100"/>
          <w:kern w:val="0"/>
          <w:sz w:val="32"/>
          <w:szCs w:val="32"/>
        </w:rPr>
        <w:t>识产权纠纷解决服务平台。</w:t>
      </w:r>
    </w:p>
    <w:p>
      <w:pPr>
        <w:pStyle w:val="Normal"/>
        <w:spacing w:lineRule="exact" w:line="560"/>
        <w:ind w:firstLineChars="200" w:startChars="0" w:start="0" w:endChars="0" w:end="0"/>
        <w:rPr>
          <w:rFonts w:ascii="仿宋_GB2312" w:hAnsi="仿宋_GB2312" w:eastAsia="仿宋_GB2312" w:cs="黑体"/>
          <w:bCs/>
          <w:w w:val="100"/>
          <w:kern w:val="0"/>
          <w:sz w:val="32"/>
          <w:szCs w:val="32"/>
          <w:highlight w:val="none"/>
        </w:rPr>
      </w:pPr>
      <w:r>
        <w:rPr>
          <w:rFonts w:ascii="黑体" w:hAnsi="黑体" w:cs="宋体" w:hint="eastAsia" w:eastAsia="黑体"/>
          <w:bCs/>
          <w:w w:val="100"/>
          <w:sz w:val="32"/>
          <w:szCs w:val="32"/>
        </w:rPr>
        <w:t xml:space="preserve">第六十一条 </w:t>
      </w:r>
      <w:r>
        <w:rPr>
          <w:rFonts w:ascii="仿宋_GB2312" w:hAnsi="仿宋_GB2312" w:cs="黑体" w:hint="eastAsia" w:eastAsia="仿宋_GB2312"/>
          <w:bCs/>
          <w:w w:val="100"/>
          <w:kern w:val="0"/>
          <w:sz w:val="32"/>
          <w:szCs w:val="32"/>
        </w:rPr>
        <w:t xml:space="preserve"> 符合条件的香港法律执业者和澳门执业律师通过粤港澳大湾区律师执业考试，取得内地执业资质的，可以按照规定在自贸片区从事法律事务。</w:t>
      </w:r>
    </w:p>
    <w:p>
      <w:pPr>
        <w:pStyle w:val="Normal"/>
        <w:spacing w:lineRule="exact" w:line="560"/>
        <w:ind w:firstLineChars="200" w:startChars="0" w:start="0" w:endChars="0" w:end="0"/>
        <w:rPr>
          <w:rFonts w:ascii="仿宋_GB2312" w:hAnsi="仿宋_GB2312" w:eastAsia="仿宋_GB2312" w:cs="黑体" w:hint="eastAsia"/>
          <w:bCs/>
          <w:w w:val="100"/>
          <w:kern w:val="0"/>
          <w:sz w:val="32"/>
          <w:szCs w:val="32"/>
          <w:highlight w:val="none"/>
        </w:rPr>
      </w:pPr>
      <w:r>
        <w:rPr>
          <w:rFonts w:eastAsia="仿宋_GB2312" w:cs="黑体" w:hint="eastAsia" w:ascii="仿宋_GB2312" w:hAnsi="仿宋_GB2312"/>
          <w:bCs/>
          <w:w w:val="100"/>
          <w:kern w:val="0"/>
          <w:sz w:val="32"/>
          <w:szCs w:val="32"/>
        </w:rPr>
      </w:r>
    </w:p>
    <w:p>
      <w:pPr>
        <w:pStyle w:val="Normal"/>
        <w:spacing w:lineRule="exact" w:line="560"/>
        <w:jc w:val="center"/>
        <w:rPr>
          <w:rFonts w:ascii="黑体" w:hAnsi="黑体" w:eastAsia="黑体" w:cs="宋体" w:hint="eastAsia"/>
          <w:bCs/>
          <w:w w:val="100"/>
          <w:sz w:val="32"/>
          <w:szCs w:val="32"/>
          <w:highlight w:val="none"/>
        </w:rPr>
      </w:pPr>
      <w:r>
        <w:rPr>
          <w:rFonts w:ascii="黑体" w:hAnsi="黑体" w:cs="宋体" w:hint="eastAsia" w:eastAsia="黑体"/>
          <w:bCs/>
          <w:w w:val="100"/>
          <w:sz w:val="32"/>
          <w:szCs w:val="32"/>
        </w:rPr>
        <w:t>第八章  附  则</w:t>
      </w:r>
    </w:p>
    <w:p>
      <w:pPr>
        <w:pStyle w:val="Normal"/>
        <w:spacing w:lineRule="exact" w:line="560"/>
        <w:jc w:val="center"/>
        <w:rPr>
          <w:rFonts w:ascii="仿宋_GB2312" w:hAnsi="仿宋_GB2312" w:eastAsia="仿宋_GB2312" w:cs="宋体" w:hint="eastAsia"/>
          <w:bCs/>
          <w:w w:val="100"/>
          <w:sz w:val="32"/>
          <w:szCs w:val="32"/>
          <w:highlight w:val="none"/>
        </w:rPr>
      </w:pPr>
      <w:r>
        <w:rPr>
          <w:rFonts w:eastAsia="仿宋_GB2312" w:cs="宋体" w:hint="eastAsia" w:ascii="仿宋_GB2312" w:hAnsi="仿宋_GB2312"/>
          <w:bCs/>
          <w:w w:val="100"/>
          <w:sz w:val="32"/>
          <w:szCs w:val="32"/>
        </w:rPr>
      </w:r>
    </w:p>
    <w:p>
      <w:pPr>
        <w:pStyle w:val="Normal"/>
        <w:spacing w:lineRule="exact" w:line="560"/>
        <w:ind w:firstLine="645" w:end="0"/>
        <w:rPr>
          <w:rFonts w:ascii="黑体" w:hAnsi="黑体" w:eastAsia="黑体" w:cs="宋体" w:hint="eastAsia"/>
          <w:bCs/>
          <w:w w:val="100"/>
          <w:sz w:val="32"/>
          <w:szCs w:val="32"/>
          <w:highlight w:val="none"/>
        </w:rPr>
      </w:pPr>
      <w:bookmarkStart w:id="14" w:name="_Hlk15035110"/>
      <w:r>
        <w:rPr>
          <w:rFonts w:ascii="黑体" w:hAnsi="黑体" w:cs="宋体" w:hint="eastAsia" w:eastAsia="黑体"/>
          <w:bCs/>
          <w:w w:val="100"/>
          <w:sz w:val="32"/>
          <w:szCs w:val="32"/>
        </w:rPr>
        <w:t xml:space="preserve">第六十二条  </w:t>
      </w:r>
      <w:r>
        <w:rPr>
          <w:rFonts w:ascii="仿宋_GB2312" w:hAnsi="仿宋_GB2312" w:cs="黑体" w:hint="eastAsia" w:eastAsia="仿宋_GB2312"/>
          <w:bCs/>
          <w:w w:val="100"/>
          <w:sz w:val="32"/>
          <w:szCs w:val="32"/>
        </w:rPr>
        <w:t>市人民政府可以根据本条例制定具体实施办法。</w:t>
      </w:r>
    </w:p>
    <w:p>
      <w:pPr>
        <w:pStyle w:val="Normal"/>
        <w:spacing w:lineRule="exact" w:line="560"/>
        <w:ind w:firstLine="645" w:end="0"/>
        <w:rPr>
          <w:rFonts w:ascii="仿宋_GB2312" w:hAnsi="仿宋_GB2312" w:eastAsia="仿宋_GB2312" w:cs="宋体" w:hint="eastAsia"/>
          <w:bCs/>
          <w:spacing w:val="-10"/>
          <w:w w:val="100"/>
          <w:sz w:val="32"/>
          <w:szCs w:val="32"/>
          <w:highlight w:val="none"/>
        </w:rPr>
      </w:pPr>
      <w:r>
        <w:rPr>
          <w:rFonts w:ascii="黑体" w:hAnsi="黑体" w:cs="宋体" w:hint="eastAsia" w:eastAsia="黑体"/>
          <w:bCs/>
          <w:w w:val="100"/>
          <w:sz w:val="32"/>
          <w:szCs w:val="32"/>
        </w:rPr>
        <w:t xml:space="preserve">第六十三条 </w:t>
      </w:r>
      <w:bookmarkEnd w:id="14"/>
      <w:r>
        <w:rPr>
          <w:rFonts w:ascii="黑体" w:hAnsi="黑体" w:cs="宋体" w:hint="eastAsia" w:eastAsia="黑体"/>
          <w:bCs/>
          <w:w w:val="100"/>
          <w:sz w:val="32"/>
          <w:szCs w:val="32"/>
        </w:rPr>
        <w:t xml:space="preserve"> </w:t>
      </w:r>
      <w:r>
        <w:rPr>
          <w:rFonts w:ascii="仿宋_GB2312" w:hAnsi="仿宋_GB2312" w:cs="黑体" w:hint="eastAsia" w:eastAsia="仿宋_GB2312"/>
          <w:bCs/>
          <w:w w:val="100"/>
          <w:sz w:val="32"/>
          <w:szCs w:val="32"/>
        </w:rPr>
        <w:t>本条例自</w:t>
      </w:r>
      <w:r>
        <w:rPr>
          <w:rFonts w:eastAsia="仿宋_GB2312" w:cs="黑体" w:hint="eastAsia" w:ascii="仿宋_GB2312" w:hAnsi="仿宋_GB2312"/>
          <w:bCs/>
          <w:w w:val="100"/>
          <w:sz w:val="32"/>
          <w:szCs w:val="32"/>
        </w:rPr>
        <w:t>2020</w:t>
      </w:r>
      <w:r>
        <w:rPr>
          <w:rFonts w:ascii="仿宋_GB2312" w:hAnsi="仿宋_GB2312" w:cs="黑体" w:hint="eastAsia" w:eastAsia="仿宋_GB2312"/>
          <w:bCs/>
          <w:w w:val="100"/>
          <w:sz w:val="32"/>
          <w:szCs w:val="32"/>
        </w:rPr>
        <w:t>年</w:t>
      </w:r>
      <w:r>
        <w:rPr>
          <w:rFonts w:eastAsia="仿宋_GB2312" w:cs="黑体" w:hint="eastAsia" w:ascii="仿宋_GB2312" w:hAnsi="仿宋_GB2312"/>
          <w:bCs/>
          <w:w w:val="100"/>
          <w:sz w:val="32"/>
          <w:szCs w:val="32"/>
        </w:rPr>
        <w:t>10</w:t>
      </w:r>
      <w:r>
        <w:rPr>
          <w:rFonts w:ascii="仿宋_GB2312" w:hAnsi="仿宋_GB2312" w:cs="黑体" w:hint="eastAsia" w:eastAsia="仿宋_GB2312"/>
          <w:bCs/>
          <w:w w:val="100"/>
          <w:sz w:val="32"/>
          <w:szCs w:val="32"/>
        </w:rPr>
        <w:t>月</w:t>
      </w:r>
      <w:r>
        <w:rPr>
          <w:rFonts w:eastAsia="仿宋_GB2312" w:cs="黑体" w:hint="eastAsia" w:ascii="仿宋_GB2312" w:hAnsi="仿宋_GB2312"/>
          <w:bCs/>
          <w:w w:val="100"/>
          <w:sz w:val="32"/>
          <w:szCs w:val="32"/>
        </w:rPr>
        <w:t>1</w:t>
      </w:r>
      <w:r>
        <w:rPr>
          <w:rFonts w:ascii="仿宋_GB2312" w:hAnsi="仿宋_GB2312" w:cs="黑体" w:hint="eastAsia" w:eastAsia="仿宋_GB2312"/>
          <w:bCs/>
          <w:w w:val="100"/>
          <w:sz w:val="32"/>
          <w:szCs w:val="32"/>
        </w:rPr>
        <w:t>日起施行</w:t>
      </w:r>
      <w:r>
        <w:rPr>
          <w:rFonts w:ascii="仿宋_GB2312" w:hAnsi="仿宋_GB2312" w:cs="宋体" w:hint="eastAsia" w:eastAsia="仿宋_GB2312"/>
          <w:bCs/>
          <w:spacing w:val="-10"/>
          <w:w w:val="100"/>
          <w:sz w:val="32"/>
          <w:szCs w:val="32"/>
        </w:rPr>
        <w:t>。</w:t>
      </w:r>
    </w:p>
    <w:p>
      <w:pPr>
        <w:pStyle w:val="Normal"/>
        <w:spacing w:lineRule="exact" w:line="560"/>
        <w:ind w:firstLine="645" w:end="0"/>
        <w:rPr>
          <w:rFonts w:ascii="仿宋_GB2312" w:hAnsi="仿宋_GB2312" w:eastAsia="仿宋_GB2312" w:cs="宋体" w:hint="eastAsia"/>
          <w:bCs/>
          <w:spacing w:val="-10"/>
          <w:w w:val="100"/>
          <w:sz w:val="32"/>
          <w:szCs w:val="32"/>
          <w:highlight w:val="none"/>
        </w:rPr>
      </w:pPr>
      <w:r>
        <w:rPr>
          <w:rFonts w:eastAsia="仿宋_GB2312" w:cs="宋体" w:hint="eastAsia" w:ascii="仿宋_GB2312" w:hAnsi="仿宋_GB2312"/>
          <w:bCs/>
          <w:spacing w:val="-10"/>
          <w:w w:val="100"/>
          <w:sz w:val="32"/>
          <w:szCs w:val="32"/>
        </w:rPr>
      </w:r>
    </w:p>
    <w:sectPr>
      <w:type w:val="nextPage"/>
      <w:pgSz w:w="11906" w:h="16838"/>
      <w:pgMar w:left="1587" w:right="1474" w:gutter="0" w:header="0" w:top="2098" w:footer="0" w:bottom="1984"/>
      <w:pgNumType w:fmt="decimal"/>
      <w:formProt w:val="false"/>
      <w:textDirection w:val="lrTb"/>
      <w:docGrid w:type="lines" w:linePitch="43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
    <w:charset w:val="86"/>
    <w:family w:val="modern"/>
    <w:pitch w:val="default"/>
  </w:font>
  <w:font w:name="楷体_GB2312">
    <w:charset w:val="86"/>
    <w:family w:val="modern"/>
    <w:pitch w:val="default"/>
  </w:font>
  <w:font w:name="方正小标宋_GBK">
    <w:charset w:val="86"/>
    <w:family w:val="script"/>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KGWebUrl" w:val="http://csfile.szoa.sz.gov.cn//file/download?md5Path=3a9e49e6735f00758c7723bc55306fa0@47425&amp;webOffice=1&amp;identityId=0543A868B5545389D306D8145E5848E4&amp;token=1c6b6417ca5d4d33ad636f5df6d8ca89&amp;identityId=0543A868B5545389D306D8145E5848E4&amp;wjbh=B202003600&amp;hddyid=LCA010001_HD_01&amp;fileSrcName=2020_03_24_18_0_12_5B44C8AB41A7C7504E4B6B981B881F8C.docx"/>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character" w:styleId="Style12">
    <w:name w:val="默认段落字体"/>
    <w:qFormat/>
    <w:rPr/>
  </w:style>
  <w:style w:type="character" w:styleId="Char">
    <w:name w:val="批注主题 Char"/>
    <w:qFormat/>
    <w:rPr>
      <w:b/>
      <w:bCs/>
      <w:kern w:val="2"/>
      <w:sz w:val="21"/>
      <w:szCs w:val="24"/>
    </w:rPr>
  </w:style>
  <w:style w:type="character" w:styleId="Strong">
    <w:name w:val="Strong"/>
    <w:qFormat/>
    <w:rPr>
      <w:b/>
    </w:rPr>
  </w:style>
  <w:style w:type="character" w:styleId="Char1">
    <w:name w:val="批注文字 Char"/>
    <w:qFormat/>
    <w:rPr>
      <w:kern w:val="2"/>
      <w:sz w:val="21"/>
      <w:szCs w:val="24"/>
    </w:rPr>
  </w:style>
  <w:style w:type="character" w:styleId="Style13">
    <w:name w:val="批注引用"/>
    <w:qFormat/>
    <w:rPr>
      <w:sz w:val="21"/>
      <w:szCs w:val="21"/>
    </w:rPr>
  </w:style>
  <w:style w:type="character" w:styleId="Hyperlink">
    <w:name w:val="Hyperlink"/>
    <w:rPr>
      <w:color w:val="0000FF"/>
      <w:u w:val="single"/>
    </w:rPr>
  </w:style>
  <w:style w:type="character" w:styleId="Char2">
    <w:name w:val="页脚 Char"/>
    <w:qFormat/>
    <w:rPr>
      <w:kern w:val="2"/>
      <w:sz w:val="18"/>
      <w:szCs w:val="24"/>
    </w:rPr>
  </w:style>
  <w:style w:type="character" w:styleId="Char3">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
    <w:name w:val="正文 New New New"/>
    <w:basedOn w:val="Normal"/>
    <w:qFormat/>
    <w:pPr/>
    <w:rPr>
      <w:rFonts w:ascii="Calibri" w:hAnsi="Calibri" w:cs="宋体"/>
      <w:szCs w:val="21"/>
    </w:rPr>
  </w:style>
  <w:style w:type="paragraph" w:styleId="Style16">
    <w:name w:val="批注主题"/>
    <w:basedOn w:val="Style14"/>
    <w:next w:val="Style14"/>
    <w:qFormat/>
    <w:pPr/>
    <w:rPr>
      <w:b/>
      <w:bCs/>
    </w:rPr>
  </w:style>
  <w:style w:type="paragraph" w:styleId="Style17">
    <w:name w:val="列出段落"/>
    <w:basedOn w:val="Normal"/>
    <w:qFormat/>
    <w:pPr>
      <w:ind w:firstLineChars="200" w:startChars="0" w:start="0" w:endChars="0" w:end="0"/>
    </w:pPr>
    <w:rPr/>
  </w:style>
  <w:style w:type="paragraph" w:styleId="Style18">
    <w:name w:val="普通(网站)"/>
    <w:basedOn w:val="Normal"/>
    <w:qFormat/>
    <w:pPr>
      <w:widowControl/>
      <w:spacing w:before="280" w:after="280"/>
      <w:jc w:val="start"/>
    </w:pPr>
    <w:rPr>
      <w:rFonts w:ascii="宋体" w:hAnsi="宋体" w:cs="宋体"/>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2020-03-25T15:52:00Z</dcterms:created>
  <dc:creator>王涛</dc:creator>
  <dc:description/>
  <dc:language>en-US</dc:language>
  <cp:lastModifiedBy>卢倚玲</cp:lastModifiedBy>
  <cp:lastPrinted>2020-09-02T10:35:00Z</cp:lastPrinted>
  <dcterms:modified xsi:type="dcterms:W3CDTF">2020-09-22T11:53:09Z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