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exact" w:line="590"/>
        <w:jc w:val="center"/>
        <w:rPr>
          <w:rFonts w:ascii="宋体" w:hAnsi="宋体" w:eastAsia="宋体" w:cs="宋体" w:hint="eastAsia"/>
          <w:b w:val="false"/>
          <w:bCs/>
          <w:spacing w:val="-17"/>
          <w:sz w:val="44"/>
          <w:szCs w:val="44"/>
          <w:highlight w:val="none"/>
        </w:rPr>
      </w:pPr>
      <w:r>
        <w:rPr>
          <w:rFonts w:ascii="宋体" w:hAnsi="宋体" w:cs="宋体" w:hint="eastAsia"/>
          <w:b w:val="false"/>
          <w:bCs/>
          <w:spacing w:val="-17"/>
          <w:sz w:val="44"/>
          <w:szCs w:val="44"/>
        </w:rPr>
        <w:t>珠海市人民代表大会常务委员会关于修改</w:t>
      </w:r>
    </w:p>
    <w:p>
      <w:pPr>
        <w:pStyle w:val="Normal"/>
        <w:snapToGrid w:val="false"/>
        <w:spacing w:lineRule="exact" w:line="590"/>
        <w:jc w:val="center"/>
        <w:rPr>
          <w:rFonts w:ascii="宋体" w:hAnsi="宋体" w:eastAsia="宋体" w:cs="宋体" w:hint="eastAsia"/>
          <w:b w:val="false"/>
          <w:bCs/>
          <w:spacing w:val="-17"/>
          <w:sz w:val="44"/>
          <w:szCs w:val="44"/>
          <w:highlight w:val="none"/>
        </w:rPr>
      </w:pPr>
      <w:r>
        <w:rPr>
          <w:rFonts w:ascii="宋体" w:hAnsi="宋体" w:cs="宋体" w:hint="eastAsia"/>
          <w:b w:val="false"/>
          <w:bCs/>
          <w:spacing w:val="-17"/>
          <w:sz w:val="44"/>
          <w:szCs w:val="44"/>
        </w:rPr>
        <w:t>《珠海市妇女权益保障条例》</w:t>
      </w:r>
    </w:p>
    <w:p>
      <w:pPr>
        <w:pStyle w:val="Normal"/>
        <w:snapToGrid w:val="false"/>
        <w:spacing w:lineRule="exact" w:line="590"/>
        <w:jc w:val="center"/>
        <w:rPr>
          <w:rFonts w:ascii="宋体" w:hAnsi="宋体" w:eastAsia="宋体" w:cs="宋体" w:hint="eastAsia"/>
          <w:b w:val="false"/>
          <w:bCs/>
          <w:spacing w:val="-17"/>
          <w:sz w:val="44"/>
          <w:szCs w:val="44"/>
          <w:highlight w:val="none"/>
        </w:rPr>
      </w:pPr>
      <w:r>
        <w:rPr>
          <w:rFonts w:ascii="宋体" w:hAnsi="宋体" w:cs="宋体" w:hint="eastAsia"/>
          <w:b w:val="false"/>
          <w:bCs/>
          <w:spacing w:val="-17"/>
          <w:sz w:val="44"/>
          <w:szCs w:val="44"/>
        </w:rPr>
        <w:t>的决定</w:t>
      </w:r>
    </w:p>
    <w:p>
      <w:pPr>
        <w:pStyle w:val="Style15"/>
        <w:rPr>
          <w:rFonts w:ascii="宋体" w:hAnsi="宋体" w:eastAsia="宋体" w:cs="宋体" w:hint="eastAsia"/>
          <w:b w:val="false"/>
          <w:bCs/>
          <w:spacing w:val="-17"/>
          <w:sz w:val="44"/>
          <w:szCs w:val="44"/>
          <w:highlight w:val="none"/>
        </w:rPr>
      </w:pPr>
      <w:r>
        <w:rPr>
          <w:rFonts w:eastAsia="宋体" w:cs="宋体" w:hint="eastAsia" w:ascii="宋体" w:hAnsi="宋体"/>
          <w:b w:val="false"/>
          <w:bCs/>
          <w:spacing w:val="-17"/>
          <w:sz w:val="44"/>
          <w:szCs w:val="44"/>
        </w:rPr>
      </w:r>
    </w:p>
    <w:p>
      <w:pPr>
        <w:pStyle w:val="Normal"/>
        <w:spacing w:lineRule="exact" w:line="590"/>
        <w:ind w:firstLineChars="200" w:startChars="0" w:start="0" w:endChars="0" w:end="0"/>
        <w:jc w:val="both"/>
        <w:rPr>
          <w:rFonts w:ascii="楷体_GB2312" w:hAnsi="楷体_GB2312" w:eastAsia="楷体_GB2312" w:cs="楷体_GB2312" w:hint="eastAsia"/>
          <w:bCs/>
          <w:spacing w:val="-8"/>
          <w:sz w:val="32"/>
          <w:szCs w:val="32"/>
        </w:rPr>
      </w:pPr>
      <w:r>
        <w:rPr>
          <w:rFonts w:ascii="楷体_GB2312" w:hAnsi="楷体_GB2312" w:cs="楷体_GB2312" w:hint="eastAsia" w:eastAsia="楷体_GB2312"/>
          <w:bCs/>
          <w:spacing w:val="-8"/>
          <w:sz w:val="32"/>
          <w:szCs w:val="32"/>
        </w:rPr>
        <w:t>（</w:t>
      </w:r>
      <w:r>
        <w:rPr>
          <w:rFonts w:eastAsia="宋体" w:cs="宋体" w:hint="eastAsia" w:ascii="宋体" w:hAnsi="宋体"/>
          <w:sz w:val="32"/>
          <w:szCs w:val="32"/>
        </w:rPr>
        <w:t>2021</w:t>
      </w:r>
      <w:r>
        <w:rPr>
          <w:rFonts w:ascii="楷体_GB2312" w:hAnsi="楷体_GB2312" w:cs="楷体_GB2312" w:hint="eastAsia" w:eastAsia="楷体_GB2312"/>
          <w:bCs/>
          <w:spacing w:val="-8"/>
          <w:sz w:val="32"/>
          <w:szCs w:val="32"/>
        </w:rPr>
        <w:t>年</w:t>
      </w:r>
      <w:r>
        <w:rPr>
          <w:rFonts w:eastAsia="宋体" w:cs="宋体" w:hint="eastAsia" w:ascii="宋体" w:hAnsi="宋体"/>
          <w:sz w:val="32"/>
          <w:szCs w:val="32"/>
        </w:rPr>
        <w:t>9</w:t>
      </w:r>
      <w:r>
        <w:rPr>
          <w:rFonts w:ascii="楷体_GB2312" w:hAnsi="楷体_GB2312" w:cs="楷体_GB2312" w:hint="eastAsia" w:eastAsia="楷体_GB2312"/>
          <w:bCs/>
          <w:spacing w:val="-8"/>
          <w:sz w:val="32"/>
          <w:szCs w:val="32"/>
        </w:rPr>
        <w:t>月</w:t>
      </w:r>
      <w:r>
        <w:rPr>
          <w:rFonts w:eastAsia="宋体" w:cs="宋体" w:hint="eastAsia" w:ascii="宋体" w:hAnsi="宋体"/>
          <w:sz w:val="32"/>
          <w:szCs w:val="32"/>
        </w:rPr>
        <w:t>27</w:t>
      </w:r>
      <w:r>
        <w:rPr>
          <w:rFonts w:ascii="楷体_GB2312" w:hAnsi="楷体_GB2312" w:cs="楷体_GB2312" w:hint="eastAsia" w:eastAsia="楷体_GB2312"/>
          <w:bCs/>
          <w:spacing w:val="-8"/>
          <w:sz w:val="32"/>
          <w:szCs w:val="32"/>
        </w:rPr>
        <w:t xml:space="preserve">日珠海市第九届人民代表大会常务委员会第四十三次会议通过   </w:t>
      </w:r>
      <w:r>
        <w:rPr>
          <w:rFonts w:eastAsia="宋体" w:cs="宋体" w:hint="eastAsia" w:ascii="宋体" w:hAnsi="宋体"/>
          <w:bCs/>
          <w:spacing w:val="-8"/>
          <w:sz w:val="32"/>
          <w:szCs w:val="32"/>
        </w:rPr>
        <w:t>2021</w:t>
      </w:r>
      <w:r>
        <w:rPr>
          <w:rFonts w:ascii="楷体_GB2312" w:hAnsi="楷体_GB2312" w:cs="楷体_GB2312" w:hint="eastAsia" w:eastAsia="楷体_GB2312"/>
          <w:bCs/>
          <w:spacing w:val="-8"/>
          <w:sz w:val="32"/>
          <w:szCs w:val="32"/>
        </w:rPr>
        <w:t>年</w:t>
      </w:r>
      <w:r>
        <w:rPr>
          <w:rFonts w:eastAsia="宋体" w:cs="宋体" w:hint="eastAsia" w:ascii="宋体" w:hAnsi="宋体"/>
          <w:bCs/>
          <w:spacing w:val="-8"/>
          <w:sz w:val="32"/>
          <w:szCs w:val="32"/>
        </w:rPr>
        <w:t>12</w:t>
      </w:r>
      <w:r>
        <w:rPr>
          <w:rFonts w:ascii="楷体_GB2312" w:hAnsi="楷体_GB2312" w:cs="楷体_GB2312" w:hint="eastAsia" w:eastAsia="楷体_GB2312"/>
          <w:bCs/>
          <w:spacing w:val="-8"/>
          <w:sz w:val="32"/>
          <w:szCs w:val="32"/>
        </w:rPr>
        <w:t>月</w:t>
      </w:r>
      <w:r>
        <w:rPr>
          <w:rFonts w:eastAsia="宋体" w:cs="宋体" w:hint="eastAsia" w:ascii="宋体" w:hAnsi="宋体"/>
          <w:bCs/>
          <w:spacing w:val="-8"/>
          <w:sz w:val="32"/>
          <w:szCs w:val="32"/>
        </w:rPr>
        <w:t>1</w:t>
      </w:r>
      <w:r>
        <w:rPr>
          <w:rFonts w:ascii="楷体_GB2312" w:hAnsi="楷体_GB2312" w:cs="楷体_GB2312" w:hint="eastAsia" w:eastAsia="楷体_GB2312"/>
          <w:bCs/>
          <w:spacing w:val="-8"/>
          <w:sz w:val="32"/>
          <w:szCs w:val="32"/>
        </w:rPr>
        <w:t>日广东省第十三届人民代表大会常务委员会第三十七次会议批准）</w:t>
      </w:r>
    </w:p>
    <w:p>
      <w:pPr>
        <w:pStyle w:val="Normal"/>
        <w:spacing w:lineRule="exact" w:line="590"/>
        <w:rPr>
          <w:rFonts w:ascii="宋体" w:hAnsi="宋体" w:eastAsia="仿宋_GB2312" w:cs="宋体" w:hint="eastAsia"/>
          <w:bCs/>
          <w:spacing w:val="-8"/>
          <w:sz w:val="32"/>
          <w:szCs w:val="32"/>
        </w:rPr>
      </w:pPr>
      <w:r>
        <w:rPr>
          <w:rFonts w:eastAsia="仿宋_GB2312" w:cs="宋体" w:hint="eastAsia" w:ascii="宋体" w:hAnsi="宋体"/>
          <w:bCs/>
          <w:spacing w:val="-8"/>
          <w:sz w:val="32"/>
          <w:szCs w:val="32"/>
        </w:rPr>
      </w:r>
    </w:p>
    <w:p>
      <w:pPr>
        <w:pStyle w:val="Normal"/>
        <w:numPr>
          <w:ilvl w:val="0"/>
          <w:numId w:val="0"/>
        </w:numPr>
        <w:spacing w:lineRule="exact" w:line="579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一、将本条例相关条款中的“社会团体”修改为“社会组织”。</w:t>
      </w:r>
    </w:p>
    <w:p>
      <w:pPr>
        <w:pStyle w:val="Normal"/>
        <w:numPr>
          <w:ilvl w:val="0"/>
          <w:numId w:val="0"/>
        </w:numPr>
        <w:spacing w:lineRule="exact" w:line="579"/>
        <w:ind w:firstLineChars="200" w:startChars="0" w:start="0" w:endChars="0" w:end="0"/>
        <w:jc w:val="both"/>
        <w:rPr>
          <w:rFonts w:ascii="仿宋_GB2312" w:hAnsi="仿宋_GB2312" w:eastAsia="仿宋_GB2312" w:cs="仿宋_GB2312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二、将第四条中的“本省的妇女发展规划”修改为“本省的妇女发展相关规划”。</w:t>
      </w:r>
    </w:p>
    <w:p>
      <w:pPr>
        <w:pStyle w:val="Normal"/>
        <w:numPr>
          <w:ilvl w:val="0"/>
          <w:numId w:val="0"/>
        </w:numPr>
        <w:spacing w:lineRule="exact" w:line="579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三、删除第七条和第九条第二款中的“人口计划生育”。</w:t>
      </w:r>
    </w:p>
    <w:p>
      <w:pPr>
        <w:pStyle w:val="Normal"/>
        <w:numPr>
          <w:ilvl w:val="0"/>
          <w:numId w:val="0"/>
        </w:numPr>
        <w:spacing w:lineRule="exact" w:line="579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四、将第七条、第九条第二款和第二十条第二款中的“卫生”修改为“卫生健康”；将第十八条第二款和第十九条中的“卫生行政”修改为“卫生健康”。</w:t>
      </w:r>
    </w:p>
    <w:p>
      <w:pPr>
        <w:pStyle w:val="Normal"/>
        <w:numPr>
          <w:ilvl w:val="0"/>
          <w:numId w:val="0"/>
        </w:numPr>
        <w:spacing w:lineRule="exact" w:line="579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五、将第七条和第二十一条第三款中的“农业”修改为“农业农村”。</w:t>
      </w:r>
    </w:p>
    <w:p>
      <w:pPr>
        <w:pStyle w:val="Normal"/>
        <w:numPr>
          <w:ilvl w:val="0"/>
          <w:numId w:val="0"/>
        </w:numPr>
        <w:spacing w:lineRule="exact" w:line="579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六、将第十三条第一款修改为：“父母或者其他监护人应当保证未成年女性接受规定年限的义务教育，不得使在校接受义务教育的未成年女性辍学”；将第十三条第二款中的“未成年人”修改为“未成年女性”。</w:t>
      </w:r>
    </w:p>
    <w:p>
      <w:pPr>
        <w:pStyle w:val="Normal"/>
        <w:numPr>
          <w:ilvl w:val="0"/>
          <w:numId w:val="0"/>
        </w:numPr>
        <w:spacing w:lineRule="exact" w:line="579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七、将第十四条修改为：“人力资源社会保障等相关部门应当根据社会用工岗位的需求情况，有计划地组织失业妇女接受职业教育、实用技术技能和创新创业培训，提高劳动技能，增强就业能力。 ”</w:t>
      </w:r>
    </w:p>
    <w:p>
      <w:pPr>
        <w:pStyle w:val="Normal"/>
        <w:numPr>
          <w:ilvl w:val="0"/>
          <w:numId w:val="0"/>
        </w:numPr>
        <w:spacing w:lineRule="exact" w:line="579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八、在第二十条后增加一条，作为第二十一条：“妇联、民政、卫生健康部门以及社会组织等应当加强妇女心理健康服务工作，对妇女开展人文关怀和心理疏导。”</w:t>
      </w:r>
    </w:p>
    <w:p>
      <w:pPr>
        <w:pStyle w:val="Normal"/>
        <w:numPr>
          <w:ilvl w:val="0"/>
          <w:numId w:val="0"/>
        </w:numPr>
        <w:spacing w:lineRule="exact" w:line="579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九、将第二十一条第一款中的“村民委员会应当宣传贯彻男女平等的国策，引导村民合法、合理自治”修改为“居民委员会、村民委员会应当宣传贯彻男女平等的国策，引导居民、村民合法合理自治”；将第二十一条中的“村民代表大会”修改为“村民代表会议”，“村民大会决议”修改为“村民会议决议”。</w:t>
      </w:r>
    </w:p>
    <w:p>
      <w:pPr>
        <w:pStyle w:val="Normal"/>
        <w:numPr>
          <w:ilvl w:val="0"/>
          <w:numId w:val="0"/>
        </w:numPr>
        <w:spacing w:lineRule="exact" w:line="579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十、将第二十四条中的“工商行政管理”修改为“市场监管”。</w:t>
      </w:r>
    </w:p>
    <w:p>
      <w:pPr>
        <w:pStyle w:val="Normal"/>
        <w:numPr>
          <w:ilvl w:val="0"/>
          <w:numId w:val="0"/>
        </w:numPr>
        <w:spacing w:lineRule="exact" w:line="579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十一、将第二十五条修改为：“离婚时，男女双方应当依法妥善处理子女抚养问题。”</w:t>
      </w:r>
    </w:p>
    <w:p>
      <w:pPr>
        <w:pStyle w:val="Normal"/>
        <w:numPr>
          <w:ilvl w:val="0"/>
          <w:numId w:val="0"/>
        </w:numPr>
        <w:spacing w:lineRule="exact" w:line="579"/>
        <w:ind w:firstLineChars="200" w:startChars="0" w:start="0" w:endChars="0" w:end="0"/>
        <w:rPr>
          <w:rFonts w:ascii="仿宋_GB2312" w:hAnsi="仿宋_GB2312" w:eastAsia="仿宋_GB2312" w:cs="仿宋_GB2312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十二、删除第二十六条中的“无理”。</w:t>
      </w:r>
    </w:p>
    <w:p>
      <w:pPr>
        <w:pStyle w:val="Normal"/>
        <w:numPr>
          <w:ilvl w:val="0"/>
          <w:numId w:val="0"/>
        </w:numPr>
        <w:spacing w:lineRule="exact" w:line="579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十三、将第二十八条修改为：“妇女因遭受家庭暴力或者面临家庭暴力的现实危险，可以依法向人民法院申请人身安全保护令。</w:t>
      </w:r>
    </w:p>
    <w:p>
      <w:pPr>
        <w:pStyle w:val="Normal"/>
        <w:numPr>
          <w:ilvl w:val="0"/>
          <w:numId w:val="0"/>
        </w:numPr>
        <w:spacing w:lineRule="exact" w:line="579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  <w:t>“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妇女是无民事行为能力人、限制民事行为能力人，或者因受到强制、威吓等原因无法申请人身安全保护令的，其近亲属、公安机关、妇联、居民委员会、村民委员会、救助管理机构可以代为申请。”</w:t>
      </w:r>
    </w:p>
    <w:p>
      <w:pPr>
        <w:pStyle w:val="Normal"/>
        <w:numPr>
          <w:ilvl w:val="0"/>
          <w:numId w:val="0"/>
        </w:numPr>
        <w:spacing w:lineRule="exact" w:line="579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十四、将第二十九条修改为：“妇女应当加强自我保护意识，在权益受到侵害时注意收集和保存证据。对于有关侵害妇女权益的申诉、控告和检举，有关部门必须查清事实、负责处理，有关社会组织应当予以协助。”</w:t>
      </w:r>
    </w:p>
    <w:p>
      <w:pPr>
        <w:pStyle w:val="Normal"/>
        <w:numPr>
          <w:ilvl w:val="0"/>
          <w:numId w:val="0"/>
        </w:numPr>
        <w:spacing w:lineRule="exact" w:line="579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十五、将第三十条第二款中的“根据实际情况在救助管理站内设立或者指定家庭暴力庇护场所”修改为“根据实际情况，单独或依托救助管理机构设立，或者指定家庭暴力庇护场所”。</w:t>
      </w:r>
    </w:p>
    <w:p>
      <w:pPr>
        <w:pStyle w:val="Normal"/>
        <w:numPr>
          <w:ilvl w:val="0"/>
          <w:numId w:val="0"/>
        </w:numPr>
        <w:spacing w:lineRule="exact" w:line="579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十六、删除第三十一条。</w:t>
      </w:r>
    </w:p>
    <w:p>
      <w:pPr>
        <w:pStyle w:val="Normal"/>
        <w:ind w:firstLineChars="200" w:startChars="0" w:start="0" w:endChars="0" w:end="0"/>
        <w:rPr/>
      </w:pPr>
      <w:r>
        <w:rPr>
          <w:rFonts w:ascii="仿宋_GB2312" w:hAnsi="仿宋_GB2312" w:cs="仿宋_GB2312" w:hint="eastAsia" w:eastAsia="仿宋_GB2312"/>
          <w:bCs/>
          <w:kern w:val="0"/>
          <w:sz w:val="32"/>
          <w:szCs w:val="32"/>
          <w:lang w:bidi="ar"/>
        </w:rPr>
        <w:t>本决定自公布之日起施行。《珠海市</w:t>
      </w:r>
      <w:r>
        <w:rPr>
          <w:rFonts w:ascii="仿宋_GB2312" w:hAnsi="仿宋_GB2312" w:cs="仿宋_GB2312" w:hint="eastAsia" w:eastAsia="仿宋_GB2312"/>
          <w:bCs/>
          <w:kern w:val="0"/>
          <w:sz w:val="32"/>
          <w:szCs w:val="32"/>
          <w:lang w:bidi="ar"/>
        </w:rPr>
        <w:t>妇女权益保障</w:t>
      </w:r>
      <w:r>
        <w:rPr>
          <w:rFonts w:ascii="仿宋_GB2312" w:hAnsi="仿宋_GB2312" w:cs="仿宋_GB2312" w:hint="eastAsia" w:eastAsia="仿宋_GB2312"/>
          <w:bCs/>
          <w:kern w:val="0"/>
          <w:sz w:val="32"/>
          <w:szCs w:val="32"/>
          <w:lang w:bidi="ar"/>
        </w:rPr>
        <w:t>条例》根据本决定作相应修改后</w:t>
      </w:r>
      <w:r>
        <w:rPr>
          <w:rFonts w:eastAsia="仿宋_GB2312" w:cs="仿宋_GB2312" w:hint="eastAsia" w:ascii="仿宋_GB2312" w:hAnsi="仿宋_GB2312"/>
          <w:bCs/>
          <w:kern w:val="0"/>
          <w:sz w:val="32"/>
          <w:szCs w:val="32"/>
          <w:lang w:bidi="ar"/>
        </w:rPr>
        <w:t>,</w:t>
      </w:r>
      <w:r>
        <w:rPr>
          <w:rFonts w:ascii="仿宋_GB2312" w:hAnsi="仿宋_GB2312" w:cs="仿宋_GB2312" w:hint="eastAsia" w:eastAsia="仿宋_GB2312"/>
          <w:bCs/>
          <w:kern w:val="0"/>
          <w:sz w:val="32"/>
          <w:szCs w:val="32"/>
          <w:lang w:bidi="ar"/>
        </w:rPr>
        <w:t>重新公布。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charset w:val="86"/>
    <w:family w:val="modern"/>
    <w:pitch w:val="default"/>
  </w:font>
  <w:font w:name="仿宋_GB2312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Style15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正文缩进"/>
    <w:next w:val="Normal"/>
    <w:qFormat/>
    <w:pPr>
      <w:widowControl w:val="false"/>
      <w:bidi w:val="0"/>
      <w:ind w:firstLineChars="200" w:startChars="0" w:start="0" w:endChars="0" w:end="0"/>
      <w:jc w:val="both"/>
    </w:pPr>
    <w:rPr>
      <w:rFonts w:ascii="Calibri" w:hAnsi="Calibri" w:eastAsia="宋体" w:cs="Times New Roman"/>
      <w:color w:val="auto"/>
      <w:kern w:val="2"/>
      <w:sz w:val="32"/>
      <w:szCs w:val="32"/>
      <w:lang w:bidi="ar-SA" w:val="en-US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Administrator</dc:creator>
  <dc:description/>
  <dc:language>en-US</dc:language>
  <cp:lastModifiedBy>PC</cp:lastModifiedBy>
  <dcterms:modified xsi:type="dcterms:W3CDTF">2022-01-26T12:26:45Z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2052-10.8.0.6501</vt:lpwstr>
  </property>
</Properties>
</file>