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/>
          <w:b w:val="false"/>
          <w:bCs/>
          <w:spacing w:val="-17"/>
          <w:sz w:val="44"/>
          <w:szCs w:val="44"/>
        </w:rPr>
        <w:t>湛江市人民代表大会常务委员会关于修改</w:t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/>
          <w:b w:val="false"/>
          <w:bCs/>
          <w:spacing w:val="-17"/>
          <w:sz w:val="44"/>
          <w:szCs w:val="44"/>
        </w:rPr>
        <w:t>《湛江市城区市容和环境卫生管理条例》</w:t>
      </w:r>
    </w:p>
    <w:p>
      <w:pPr>
        <w:pStyle w:val="Normal"/>
        <w:snapToGrid w:val="false"/>
        <w:spacing w:lineRule="exact" w:line="590"/>
        <w:jc w:val="center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ascii="宋体" w:hAnsi="宋体" w:cs="宋体" w:hint="eastAsia"/>
          <w:b w:val="false"/>
          <w:bCs/>
          <w:spacing w:val="-17"/>
          <w:sz w:val="44"/>
          <w:szCs w:val="44"/>
        </w:rPr>
        <w:t>的决定</w:t>
      </w:r>
    </w:p>
    <w:p>
      <w:pPr>
        <w:pStyle w:val="Style15"/>
        <w:rPr>
          <w:rFonts w:ascii="宋体" w:hAnsi="宋体" w:eastAsia="宋体" w:cs="宋体" w:hint="eastAsia"/>
          <w:b w:val="false"/>
          <w:bCs/>
          <w:spacing w:val="-17"/>
          <w:sz w:val="44"/>
          <w:szCs w:val="44"/>
          <w:highlight w:val="none"/>
        </w:rPr>
      </w:pPr>
      <w:r>
        <w:rPr>
          <w:rFonts w:eastAsia="宋体" w:cs="宋体" w:hint="eastAsia" w:ascii="宋体" w:hAnsi="宋体"/>
          <w:b w:val="false"/>
          <w:bCs/>
          <w:spacing w:val="-17"/>
          <w:sz w:val="44"/>
          <w:szCs w:val="44"/>
        </w:rPr>
      </w:r>
    </w:p>
    <w:p>
      <w:pPr>
        <w:pStyle w:val="Normal"/>
        <w:spacing w:lineRule="exact" w:line="590"/>
        <w:ind w:firstLineChars="200" w:startChars="0" w:start="0" w:endChars="0" w:end="0"/>
        <w:jc w:val="start"/>
        <w:rPr>
          <w:rFonts w:ascii="等线;楷体_GB2312" w:hAnsi="等线;楷体_GB2312" w:eastAsia="楷体_GB2312" w:cs="等线;楷体_GB2312"/>
          <w:sz w:val="32"/>
          <w:szCs w:val="32"/>
        </w:rPr>
      </w:pPr>
      <w:r>
        <w:rPr>
          <w:rFonts w:ascii="Times New Roman" w:hAnsi="Times New Roman" w:cs="Times New Roman" w:eastAsia="楷体_GB2312"/>
          <w:sz w:val="32"/>
          <w:szCs w:val="32"/>
        </w:rPr>
        <w:t>（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10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28</w:t>
      </w:r>
      <w:r>
        <w:rPr>
          <w:rFonts w:ascii="Times New Roman" w:hAnsi="Times New Roman" w:cs="Times New Roman" w:eastAsia="楷体_GB2312"/>
          <w:sz w:val="32"/>
          <w:szCs w:val="32"/>
        </w:rPr>
        <w:t>日湛江市第十四届人民代表大会常务委员会</w:t>
      </w:r>
      <w:r>
        <w:rPr>
          <w:rFonts w:ascii="Times New Roman" w:hAnsi="Times New Roman" w:cs="Times New Roman" w:hint="eastAsia" w:eastAsia="楷体_GB2312"/>
          <w:sz w:val="32"/>
          <w:szCs w:val="32"/>
        </w:rPr>
        <w:t>第</w:t>
      </w:r>
      <w:r>
        <w:rPr>
          <w:rFonts w:ascii="Times New Roman" w:hAnsi="Times New Roman" w:cs="Times New Roman" w:eastAsia="楷体_GB2312"/>
          <w:sz w:val="32"/>
          <w:szCs w:val="32"/>
        </w:rPr>
        <w:t>五十</w:t>
      </w:r>
      <w:r>
        <w:rPr>
          <w:rFonts w:ascii="Times New Roman" w:hAnsi="Times New Roman" w:cs="Times New Roman" w:hint="eastAsia" w:eastAsia="楷体_GB2312"/>
          <w:sz w:val="32"/>
          <w:szCs w:val="32"/>
        </w:rPr>
        <w:t>二</w:t>
      </w:r>
      <w:r>
        <w:rPr>
          <w:rFonts w:ascii="Times New Roman" w:hAnsi="Times New Roman" w:cs="Times New Roman" w:eastAsia="楷体_GB2312"/>
          <w:sz w:val="32"/>
          <w:szCs w:val="32"/>
        </w:rPr>
        <w:t>次会议通过</w:t>
      </w:r>
      <w:r>
        <w:rPr>
          <w:rFonts w:ascii="Times New Roman" w:hAnsi="Times New Roman" w:cs="Times New Roman" w:hint="eastAsia" w:eastAsia="楷体_GB2312"/>
          <w:sz w:val="32"/>
          <w:szCs w:val="32"/>
        </w:rPr>
        <w:t xml:space="preserve">  </w:t>
      </w:r>
      <w:r>
        <w:rPr>
          <w:rFonts w:eastAsia="宋体" w:cs="宋体" w:hint="eastAsia" w:ascii="宋体" w:hAnsi="宋体"/>
          <w:sz w:val="32"/>
          <w:szCs w:val="32"/>
        </w:rPr>
        <w:t>2021</w:t>
      </w:r>
      <w:r>
        <w:rPr>
          <w:rFonts w:ascii="Times New Roman" w:hAnsi="Times New Roman" w:cs="Times New Roman" w:eastAsia="楷体_GB2312"/>
          <w:sz w:val="32"/>
          <w:szCs w:val="32"/>
        </w:rPr>
        <w:t>年</w:t>
      </w:r>
      <w:r>
        <w:rPr>
          <w:rFonts w:eastAsia="宋体" w:cs="宋体" w:hint="eastAsia" w:ascii="宋体" w:hAnsi="宋体"/>
          <w:sz w:val="32"/>
          <w:szCs w:val="32"/>
        </w:rPr>
        <w:t>12</w:t>
      </w:r>
      <w:r>
        <w:rPr>
          <w:rFonts w:ascii="Times New Roman" w:hAnsi="Times New Roman" w:cs="Times New Roman" w:eastAsia="楷体_GB2312"/>
          <w:sz w:val="32"/>
          <w:szCs w:val="32"/>
        </w:rPr>
        <w:t>月</w:t>
      </w:r>
      <w:r>
        <w:rPr>
          <w:rFonts w:eastAsia="宋体" w:cs="宋体" w:hint="eastAsia" w:ascii="宋体" w:hAnsi="宋体"/>
          <w:sz w:val="32"/>
          <w:szCs w:val="32"/>
        </w:rPr>
        <w:t>1</w:t>
      </w:r>
      <w:r>
        <w:rPr>
          <w:rFonts w:ascii="Times New Roman" w:hAnsi="Times New Roman" w:cs="Times New Roman" w:eastAsia="楷体_GB2312"/>
          <w:sz w:val="32"/>
          <w:szCs w:val="32"/>
        </w:rPr>
        <w:t>日广东省第十三届人民</w:t>
      </w:r>
      <w:r>
        <w:rPr>
          <w:rFonts w:ascii="Times New Roman" w:hAnsi="Times New Roman" w:cs="Times New Roman" w:hint="eastAsia" w:eastAsia="楷体_GB2312"/>
          <w:sz w:val="32"/>
          <w:szCs w:val="32"/>
        </w:rPr>
        <w:t>代</w:t>
      </w:r>
      <w:r>
        <w:rPr>
          <w:rFonts w:ascii="Times New Roman" w:hAnsi="Times New Roman" w:cs="Times New Roman" w:eastAsia="楷体_GB2312"/>
          <w:sz w:val="32"/>
          <w:szCs w:val="32"/>
        </w:rPr>
        <w:t>表大会常务委员会第三十</w:t>
      </w:r>
      <w:r>
        <w:rPr>
          <w:rFonts w:ascii="Times New Roman" w:hAnsi="Times New Roman" w:cs="Times New Roman" w:hint="eastAsia" w:eastAsia="楷体_GB2312"/>
          <w:sz w:val="32"/>
          <w:szCs w:val="32"/>
        </w:rPr>
        <w:t>七</w:t>
      </w:r>
      <w:r>
        <w:rPr>
          <w:rFonts w:ascii="Times New Roman" w:hAnsi="Times New Roman" w:cs="Times New Roman" w:eastAsia="楷体_GB2312"/>
          <w:sz w:val="32"/>
          <w:szCs w:val="32"/>
        </w:rPr>
        <w:t>次会议批准）</w:t>
      </w:r>
    </w:p>
    <w:p>
      <w:pPr>
        <w:pStyle w:val="Normal"/>
        <w:spacing w:lineRule="exact" w:line="590"/>
        <w:jc w:val="center"/>
        <w:rPr>
          <w:rFonts w:ascii="宋体" w:hAnsi="宋体" w:eastAsia="仿宋_GB2312" w:cs="方正小标宋简体" w:hint="eastAsia"/>
          <w:sz w:val="32"/>
          <w:szCs w:val="32"/>
        </w:rPr>
      </w:pPr>
      <w:r>
        <w:rPr>
          <w:rFonts w:eastAsia="仿宋_GB2312" w:cs="方正小标宋简体" w:hint="eastAsia" w:ascii="宋体" w:hAnsi="宋体"/>
          <w:sz w:val="32"/>
          <w:szCs w:val="32"/>
        </w:rPr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湛江市第十四届人民代表大会常务委员会第五十二次会议决定，对《</w:t>
      </w:r>
      <w:r>
        <w:rPr>
          <w:rFonts w:ascii="仿宋_GB2312" w:hAnsi="仿宋_GB2312" w:cs="宋体" w:hint="eastAsia" w:eastAsia="仿宋_GB2312"/>
          <w:sz w:val="32"/>
          <w:szCs w:val="32"/>
        </w:rPr>
        <w:t>湛江市城区市容和环境卫生管理条例</w:t>
      </w:r>
      <w:r>
        <w:rPr>
          <w:rFonts w:ascii="仿宋_GB2312" w:hAnsi="仿宋_GB2312" w:cs="仿宋_GB2312" w:hint="eastAsia" w:eastAsia="仿宋_GB2312"/>
          <w:sz w:val="32"/>
          <w:szCs w:val="32"/>
        </w:rPr>
        <w:t>》作如下修改：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一、</w:t>
      </w:r>
      <w:r>
        <w:rPr>
          <w:rFonts w:ascii="仿宋_GB2312" w:hAnsi="仿宋_GB2312" w:cs="仿宋" w:hint="eastAsia" w:eastAsia="仿宋_GB2312"/>
          <w:sz w:val="32"/>
          <w:szCs w:val="32"/>
        </w:rPr>
        <w:t>将第五条第二款中的“城市规划、国土资源”修改为“自然资源”，“工商”修改为“市场监督管理”，“环境保护”修改为“生态环境”，“卫生”修改为“卫生健康”，“畜牧”修改为“农业农村”，“部门”修改为“主管部门”，删去“海洋渔业”、“食品药品监管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二、</w:t>
      </w:r>
      <w:r>
        <w:rPr>
          <w:rFonts w:ascii="仿宋_GB2312" w:hAnsi="仿宋_GB2312" w:cs="仿宋" w:hint="eastAsia" w:eastAsia="仿宋_GB2312"/>
          <w:sz w:val="32"/>
          <w:szCs w:val="32"/>
        </w:rPr>
        <w:t>删去第十八条第三款中的“</w:t>
      </w:r>
      <w:r>
        <w:rPr>
          <w:rFonts w:ascii="Times New Roman" w:hAnsi="Times New Roman" w:cs="仿宋_GB2312" w:hint="eastAsia" w:eastAsia="仿宋_GB2312"/>
          <w:color w:val="000000"/>
          <w:sz w:val="32"/>
          <w:szCs w:val="32"/>
        </w:rPr>
        <w:t>施工过程中临时堆放在城市道路上的余泥、污物应当及时清理</w:t>
      </w:r>
      <w:r>
        <w:rPr>
          <w:rFonts w:ascii="仿宋_GB2312" w:hAnsi="仿宋_GB2312" w:cs="仿宋" w:hint="eastAsia" w:eastAsia="仿宋_GB2312"/>
          <w:sz w:val="32"/>
          <w:szCs w:val="32"/>
        </w:rPr>
        <w:t>”，并增加一款作为第四款：“工程</w:t>
      </w:r>
      <w:r>
        <w:rPr>
          <w:rFonts w:ascii="Times New Roman" w:hAnsi="Times New Roman" w:cs="仿宋_GB2312" w:hint="eastAsia" w:eastAsia="仿宋_GB2312"/>
          <w:color w:val="000000"/>
          <w:sz w:val="32"/>
          <w:szCs w:val="32"/>
        </w:rPr>
        <w:t>施工过程中临时堆放在城市道路上的余泥、污物应当及时清理。</w:t>
      </w:r>
      <w:r>
        <w:rPr>
          <w:rFonts w:ascii="仿宋_GB2312" w:hAnsi="仿宋_GB2312" w:cs="仿宋" w:hint="eastAsia" w:eastAsia="仿宋_GB2312"/>
          <w:sz w:val="32"/>
          <w:szCs w:val="32"/>
        </w:rPr>
        <w:t>”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三、</w:t>
      </w:r>
      <w:r>
        <w:rPr>
          <w:rFonts w:ascii="仿宋_GB2312" w:hAnsi="仿宋_GB2312" w:cs="仿宋" w:hint="eastAsia" w:eastAsia="仿宋_GB2312"/>
          <w:sz w:val="32"/>
          <w:szCs w:val="32"/>
        </w:rPr>
        <w:t>第二十三条增加一项，作为第四项：“（四）</w:t>
      </w:r>
      <w:r>
        <w:rPr>
          <w:rFonts w:ascii="Times New Roman" w:hAnsi="Times New Roman" w:cs="仿宋_GB2312" w:hint="eastAsia" w:eastAsia="仿宋_GB2312"/>
          <w:color w:val="000000"/>
          <w:sz w:val="32"/>
          <w:szCs w:val="32"/>
        </w:rPr>
        <w:t>法律法规规定的其他损坏城市绿化及其设施的行为</w:t>
      </w:r>
      <w:r>
        <w:rPr>
          <w:rFonts w:ascii="仿宋_GB2312" w:hAnsi="仿宋_GB2312" w:cs="仿宋" w:hint="eastAsia" w:eastAsia="仿宋_GB2312"/>
          <w:sz w:val="32"/>
          <w:szCs w:val="32"/>
        </w:rPr>
        <w:t>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四、</w:t>
      </w:r>
      <w:r>
        <w:rPr>
          <w:rFonts w:ascii="仿宋_GB2312" w:hAnsi="仿宋_GB2312" w:cs="仿宋" w:hint="eastAsia" w:eastAsia="仿宋_GB2312"/>
          <w:sz w:val="32"/>
          <w:szCs w:val="32"/>
        </w:rPr>
        <w:t>将第三十一条第一款中的“城乡规划”修改为“自然资源”，“部门”修改为“主管部门”，“城市总体规划”修改为“国土空间规划”。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五、</w:t>
      </w:r>
      <w:r>
        <w:rPr>
          <w:rFonts w:ascii="仿宋_GB2312" w:hAnsi="仿宋_GB2312" w:cs="仿宋" w:hint="eastAsia" w:eastAsia="仿宋_GB2312"/>
          <w:sz w:val="32"/>
          <w:szCs w:val="32"/>
        </w:rPr>
        <w:t>将第三十三条第一款中的“所需经费纳入建设工程概算”修改为“所需经费纳入建设工程预算”，删去第二款中的“市容环境卫生行政主管部门应当参与对配套</w:t>
      </w:r>
      <w:r>
        <w:rPr>
          <w:rFonts w:ascii="Times New Roman" w:hAnsi="Times New Roman" w:cs="仿宋_GB2312" w:hint="eastAsia" w:eastAsia="仿宋_GB2312"/>
          <w:color w:val="000000"/>
          <w:sz w:val="32"/>
          <w:szCs w:val="32"/>
        </w:rPr>
        <w:t>建设的环境卫生设施的初步设计审查和竣工验收”。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六、</w:t>
      </w:r>
      <w:r>
        <w:rPr>
          <w:rFonts w:ascii="仿宋_GB2312" w:hAnsi="仿宋_GB2312" w:cs="仿宋" w:hint="eastAsia" w:eastAsia="仿宋_GB2312"/>
          <w:sz w:val="32"/>
          <w:szCs w:val="32"/>
        </w:rPr>
        <w:t>将第三十四条第二款修改为“</w:t>
      </w:r>
      <w:r>
        <w:rPr>
          <w:rFonts w:ascii="等线;楷体_GB2312" w:hAnsi="等线;楷体_GB2312" w:cs="仿宋_GB2312" w:hint="eastAsia" w:eastAsia="仿宋_GB2312"/>
          <w:color w:val="000000"/>
          <w:sz w:val="32"/>
          <w:szCs w:val="32"/>
        </w:rPr>
        <w:t>任何单位和个人不得擅自占用、损坏环境卫生设施</w:t>
      </w:r>
      <w:r>
        <w:rPr>
          <w:rFonts w:ascii="仿宋_GB2312" w:hAnsi="仿宋_GB2312" w:cs="仿宋" w:hint="eastAsia" w:eastAsia="仿宋_GB2312"/>
          <w:sz w:val="32"/>
          <w:szCs w:val="32"/>
        </w:rPr>
        <w:t>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七、</w:t>
      </w:r>
      <w:r>
        <w:rPr>
          <w:rFonts w:ascii="仿宋_GB2312" w:hAnsi="仿宋_GB2312" w:cs="仿宋" w:hint="eastAsia" w:eastAsia="仿宋_GB2312"/>
          <w:sz w:val="32"/>
          <w:szCs w:val="32"/>
        </w:rPr>
        <w:t>第三十五条增加一项，作为第七项：“（七）法律法规规定的其他影响城市环境卫生的行为”。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八、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将第三十七条第二款修改为“</w:t>
      </w:r>
      <w:r>
        <w:rPr>
          <w:rFonts w:ascii="Times New Roman" w:hAnsi="Times New Roman" w:cs="仿宋_GB2312" w:hint="eastAsia" w:eastAsia="仿宋_GB2312"/>
          <w:color w:val="000000"/>
          <w:sz w:val="32"/>
          <w:szCs w:val="32"/>
        </w:rPr>
        <w:t>禁止随意倾倒、抛撒、堆放或者焚烧生活垃圾”。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Times New Roman" w:hAnsi="Times New Roman" w:eastAsia="仿宋_GB2312" w:cs="仿宋_GB2312" w:hint="eastAsia"/>
          <w:color w:val="000000"/>
          <w:sz w:val="32"/>
          <w:szCs w:val="32"/>
        </w:rPr>
      </w:pPr>
      <w:r>
        <w:rPr>
          <w:rFonts w:ascii="黑体" w:hAnsi="黑体" w:cs="仿宋_GB2312" w:hint="eastAsia" w:eastAsia="黑体"/>
          <w:sz w:val="32"/>
          <w:szCs w:val="32"/>
        </w:rPr>
        <w:t>九、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将第三十九条第一款中的“有经营许可证”修改为“具备相应资质条件”。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仿宋_GB2312" w:hint="eastAsia" w:eastAsia="黑体"/>
          <w:sz w:val="32"/>
          <w:szCs w:val="32"/>
        </w:rPr>
        <w:t>十、</w:t>
      </w:r>
      <w:r>
        <w:rPr>
          <w:rFonts w:ascii="仿宋_GB2312" w:hAnsi="仿宋_GB2312" w:cs="仿宋_GB2312" w:hint="eastAsia" w:eastAsia="仿宋_GB2312"/>
          <w:sz w:val="32"/>
          <w:szCs w:val="32"/>
        </w:rPr>
        <w:t>增加一条，作为第四十八条：“违反本条例规定，有关法律法规已有法律责任规定的，依照其规定”。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仿宋_GB2312" w:hAnsi="仿宋_GB2312" w:eastAsia="仿宋_GB2312" w:cs="Tahoma" w:hint="eastAsia"/>
          <w:sz w:val="32"/>
          <w:szCs w:val="32"/>
        </w:rPr>
      </w:pPr>
      <w:r>
        <w:rPr>
          <w:rFonts w:ascii="黑体" w:hAnsi="黑体" w:cs="仿宋_GB2312" w:hint="eastAsia" w:eastAsia="黑体"/>
          <w:sz w:val="32"/>
          <w:szCs w:val="32"/>
        </w:rPr>
        <w:t>十一、</w:t>
      </w:r>
      <w:r>
        <w:rPr>
          <w:rFonts w:ascii="仿宋_GB2312" w:hAnsi="仿宋_GB2312" w:cs="Tahoma" w:hint="eastAsia" w:eastAsia="仿宋_GB2312"/>
          <w:sz w:val="32"/>
          <w:szCs w:val="32"/>
        </w:rPr>
        <w:t>将第四十八条改为第四十九条，并删去第二项中的“违反第三款规定，直接向城市道路排放余泥、污物的，责令停止违法行为，限期清理或者采取补救措施，并可处五百元以上五千元以下罚款”；删去第三项、第四项；将第五项至第九项改为第三项至第七项。</w:t>
      </w:r>
    </w:p>
    <w:p>
      <w:pPr>
        <w:pStyle w:val="Normal"/>
        <w:spacing w:lineRule="exact" w:line="580"/>
        <w:ind w:firstLineChars="200" w:startChars="0" w:start="0" w:endChars="0" w:end="0"/>
        <w:rPr>
          <w:rFonts w:ascii="Times New Roman" w:hAnsi="Times New Roman" w:eastAsia="仿宋_GB2312" w:cs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十二</w:t>
      </w:r>
      <w:r>
        <w:rPr>
          <w:rFonts w:ascii="黑体" w:hAnsi="黑体" w:cs="仿宋_GB2312" w:hint="eastAsia" w:eastAsia="黑体"/>
          <w:sz w:val="32"/>
          <w:szCs w:val="32"/>
        </w:rPr>
        <w:t>、</w:t>
      </w:r>
      <w:r>
        <w:rPr>
          <w:rFonts w:ascii="仿宋_GB2312" w:hAnsi="仿宋_GB2312" w:cs="Tahoma" w:hint="eastAsia" w:eastAsia="仿宋_GB2312"/>
          <w:sz w:val="32"/>
          <w:szCs w:val="32"/>
        </w:rPr>
        <w:t>将第四十九条改为第五十条，删去第一项的“</w:t>
      </w:r>
      <w:r>
        <w:rPr>
          <w:rFonts w:ascii="等线;楷体_GB2312" w:hAnsi="等线;楷体_GB2312" w:cs="仿宋_GB2312" w:hint="eastAsia" w:eastAsia="仿宋_GB2312"/>
          <w:color w:val="000000"/>
          <w:sz w:val="32"/>
          <w:szCs w:val="32"/>
        </w:rPr>
        <w:t>未经批准擅自拆除环境卫生设施或者未按批准拆迁方案进行拆迁的，处原设施造价一倍以上三倍以下罚款，罚款数额最高不得超过三万元。</w:t>
      </w:r>
      <w:r>
        <w:rPr>
          <w:rFonts w:ascii="Times New Roman" w:hAnsi="Times New Roman" w:cs="仿宋_GB2312" w:hint="eastAsia" w:eastAsia="仿宋_GB2312"/>
          <w:color w:val="000000"/>
          <w:sz w:val="32"/>
          <w:szCs w:val="32"/>
        </w:rPr>
        <w:t>”；删去第二、第三、第四、第六项；将第七项改为第三项并修改为“违反本条例第四十三条规定，未即时清理宠物在公共场所的排泄物，污染市容环境卫生的，责令改正，清除污物，处五十元以上二百元以下罚款。”；将第五项改为第二项，第八至第十项改为第四至第六项。</w:t>
      </w:r>
    </w:p>
    <w:p>
      <w:pPr>
        <w:pStyle w:val="NewNewNewNewNewNewNewNewNewNewNewNewNewNewNewNewNewNewNewNew"/>
        <w:tabs>
          <w:tab w:val="clear" w:pos="420"/>
          <w:tab w:val="left" w:pos="4732" w:leader="none"/>
        </w:tabs>
        <w:spacing w:lineRule="exact" w:line="580"/>
        <w:ind w:firstLineChars="200" w:startChars="0" w:start="0" w:endChars="0" w:end="0"/>
        <w:rPr>
          <w:rFonts w:cs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kern w:val="2"/>
          <w:sz w:val="32"/>
          <w:szCs w:val="32"/>
        </w:rPr>
        <w:t>十三、</w:t>
      </w:r>
      <w:r>
        <w:rPr>
          <w:rFonts w:cs="仿宋_GB2312" w:hint="eastAsia"/>
          <w:color w:val="000000"/>
          <w:sz w:val="32"/>
          <w:szCs w:val="32"/>
        </w:rPr>
        <w:t>增加一条，作为第五十一条：“违反本条例第二十三条、第三十五条、第三十六条、第三十七条的规定，未按照垃圾分类规定投放生活垃圾，或者未按照规定投放体积较大的废弃物品的，责令改正；情节严重的，对单位处五万元以上五十万元以下的罚款，对个人处一百元以上五百元以下的罚款”。</w:t>
      </w:r>
    </w:p>
    <w:p>
      <w:pPr>
        <w:pStyle w:val="NewNewNewNewNewNewNewNewNewNewNewNewNewNewNewNewNewNewNewNew"/>
        <w:tabs>
          <w:tab w:val="clear" w:pos="420"/>
          <w:tab w:val="left" w:pos="4732" w:leader="none"/>
        </w:tabs>
        <w:spacing w:lineRule="exact" w:line="580"/>
        <w:ind w:firstLineChars="200" w:startChars="0" w:start="0" w:endChars="0" w:end="0"/>
        <w:rPr>
          <w:rFonts w:hint="eastAsia"/>
          <w:sz w:val="32"/>
          <w:szCs w:val="32"/>
        </w:rPr>
      </w:pPr>
      <w:r>
        <w:rPr>
          <w:rFonts w:ascii="黑体" w:hAnsi="黑体" w:cs="黑体" w:hint="eastAsia" w:eastAsia="黑体"/>
          <w:kern w:val="2"/>
          <w:sz w:val="32"/>
          <w:szCs w:val="32"/>
        </w:rPr>
        <w:t>十四、</w:t>
      </w:r>
      <w:r>
        <w:rPr>
          <w:rFonts w:hint="eastAsia"/>
          <w:sz w:val="32"/>
          <w:szCs w:val="32"/>
        </w:rPr>
        <w:t>将第五十条改为第五十二条，</w:t>
      </w:r>
      <w:r>
        <w:rPr>
          <w:rFonts w:cs="仿宋_GB2312" w:hint="eastAsia"/>
          <w:color w:val="000000"/>
          <w:sz w:val="32"/>
          <w:szCs w:val="32"/>
        </w:rPr>
        <w:t>删去“监察机关”</w:t>
      </w:r>
      <w:r>
        <w:rPr>
          <w:rFonts w:hint="eastAsia"/>
          <w:sz w:val="32"/>
          <w:szCs w:val="32"/>
        </w:rPr>
        <w:t>。</w:t>
      </w:r>
    </w:p>
    <w:p>
      <w:pPr>
        <w:pStyle w:val="NewNewNewNewNewNewNewNewNewNewNewNewNewNewNewNewNewNewNewNew"/>
        <w:tabs>
          <w:tab w:val="clear" w:pos="420"/>
          <w:tab w:val="left" w:pos="4732" w:leader="none"/>
        </w:tabs>
        <w:spacing w:lineRule="exact" w:line="580"/>
        <w:ind w:firstLineChars="200" w:startChars="0" w:start="0" w:endChars="0" w:end="0"/>
        <w:rPr>
          <w:rFonts w:cs="仿宋_GB2312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kern w:val="2"/>
          <w:sz w:val="32"/>
          <w:szCs w:val="32"/>
        </w:rPr>
        <w:t>十五、</w:t>
      </w:r>
      <w:r>
        <w:rPr>
          <w:rFonts w:hint="eastAsia"/>
          <w:sz w:val="32"/>
          <w:szCs w:val="32"/>
        </w:rPr>
        <w:t>将条例</w:t>
      </w:r>
      <w:r>
        <w:rPr>
          <w:rFonts w:cs="仿宋" w:hint="eastAsia"/>
          <w:sz w:val="32"/>
          <w:szCs w:val="32"/>
        </w:rPr>
        <w:t>中所有的</w:t>
      </w:r>
      <w:r>
        <w:rPr>
          <w:rFonts w:hint="eastAsia"/>
          <w:sz w:val="32"/>
          <w:szCs w:val="32"/>
        </w:rPr>
        <w:t>“</w:t>
      </w:r>
      <w:r>
        <w:rPr>
          <w:rFonts w:cs="仿宋_GB2312" w:hint="eastAsia"/>
          <w:color w:val="000000"/>
          <w:sz w:val="32"/>
          <w:szCs w:val="32"/>
        </w:rPr>
        <w:t>市容环境卫生行政主管部门”统一修改为“市容环境卫生主管部门”。</w:t>
      </w:r>
    </w:p>
    <w:p>
      <w:pPr>
        <w:pStyle w:val="Normal"/>
        <w:shd w:fill="FFFFFF" w:val="clear"/>
        <w:spacing w:lineRule="exact" w:line="58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宋体" w:hAnsi="宋体" w:cs="仿宋_GB2312" w:hint="eastAsia" w:eastAsia="仿宋_GB2312"/>
          <w:sz w:val="32"/>
          <w:szCs w:val="32"/>
        </w:rPr>
        <w:t>此外，还对条例的个别条款作了一些文字修改，</w:t>
      </w:r>
      <w:r>
        <w:rPr>
          <w:rFonts w:ascii="仿宋_GB2312" w:hAnsi="仿宋_GB2312" w:cs="等线;楷体_GB2312" w:hint="eastAsia" w:eastAsia="仿宋_GB2312"/>
          <w:sz w:val="32"/>
          <w:szCs w:val="32"/>
        </w:rPr>
        <w:t>对条文顺序作了相应调整。</w:t>
      </w:r>
    </w:p>
    <w:p>
      <w:pPr>
        <w:pStyle w:val="Normal"/>
        <w:shd w:fill="FFFFFF" w:val="clear"/>
        <w:spacing w:lineRule="exact" w:line="580"/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本决定自公布之日起施行。</w:t>
      </w:r>
    </w:p>
    <w:p>
      <w:pPr>
        <w:pStyle w:val="Normal"/>
        <w:rPr/>
      </w:pPr>
      <w:r>
        <w:rPr>
          <w:rFonts w:ascii="仿宋_GB2312" w:hAnsi="仿宋_GB2312" w:cs="仿宋_GB2312" w:hint="eastAsia" w:eastAsia="仿宋_GB2312"/>
          <w:sz w:val="32"/>
          <w:szCs w:val="32"/>
        </w:rPr>
        <w:t>《</w:t>
      </w:r>
      <w:r>
        <w:rPr>
          <w:rFonts w:ascii="仿宋_GB2312" w:hAnsi="仿宋_GB2312" w:cs="宋体" w:hint="eastAsia" w:eastAsia="仿宋_GB2312"/>
          <w:sz w:val="32"/>
          <w:szCs w:val="32"/>
        </w:rPr>
        <w:t>湛江市城区市容和环境卫生管理条例</w:t>
      </w:r>
      <w:r>
        <w:rPr>
          <w:rFonts w:ascii="仿宋_GB2312" w:hAnsi="仿宋_GB2312" w:cs="仿宋_GB2312" w:hint="eastAsia" w:eastAsia="仿宋_GB2312"/>
          <w:sz w:val="32"/>
          <w:szCs w:val="32"/>
        </w:rPr>
        <w:t>》根据本决定作相应修改后，重新公布。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auto"/>
    <w:pitch w:val="default"/>
  </w:font>
  <w:font w:name="宋体">
    <w:charset w:val="86"/>
    <w:family w:val="auto"/>
    <w:pitch w:val="default"/>
  </w:font>
  <w:font w:name="等线">
    <w:altName w:val="楷体_GB2312"/>
    <w:charset w:val="00" w:characterSet="windows-1252"/>
    <w:family w:val="auto"/>
    <w:pitch w:val="default"/>
  </w:font>
  <w:font w:name="黑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3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正文缩进"/>
    <w:next w:val="Normal"/>
    <w:qFormat/>
    <w:pPr>
      <w:widowControl w:val="false"/>
      <w:bidi w:val="0"/>
      <w:ind w:firstLineChars="200" w:startChars="0" w:start="0" w:endChars="0" w:end="0"/>
      <w:jc w:val="both"/>
    </w:pPr>
    <w:rPr>
      <w:rFonts w:ascii="Calibri" w:hAnsi="Calibri" w:eastAsia="宋体" w:cs="Times New Roman"/>
      <w:color w:val="auto"/>
      <w:kern w:val="2"/>
      <w:sz w:val="32"/>
      <w:szCs w:val="32"/>
      <w:lang w:bidi="ar-SA" w:val="en-US" w:eastAsia="zh-CN"/>
    </w:rPr>
  </w:style>
  <w:style w:type="paragraph" w:styleId="NewNewNewNewNewNewNewNewNewNewNewNewNewNewNewNewNewNewNewNew">
    <w:name w:val="正文 New New New New New New New New New New New New New New New New New New New New"/>
    <w:qFormat/>
    <w:pPr>
      <w:widowControl w:val="false"/>
      <w:bidi w:val="0"/>
      <w:jc w:val="both"/>
    </w:pPr>
    <w:rPr>
      <w:rFonts w:ascii="仿宋_GB2312" w:hAnsi="仿宋_GB2312" w:eastAsia="仿宋_GB2312" w:cs="Times New Roman"/>
      <w:color w:val="auto"/>
      <w:kern w:val="2"/>
      <w:sz w:val="21"/>
      <w:szCs w:val="24"/>
      <w:lang w:bidi="ar-SA"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Administrator</dc:creator>
  <dc:description/>
  <dc:language>en-US</dc:language>
  <cp:lastModifiedBy>PC</cp:lastModifiedBy>
  <dcterms:modified xsi:type="dcterms:W3CDTF">2022-01-26T11:48:30Z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2052-10.8.0.6501</vt:lpwstr>
  </property>
</Properties>
</file>