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32"/>
          <w:szCs w:val="32"/>
          <w:highlight w:val="none"/>
          <w:lang w:bidi="ar"/>
        </w:rPr>
      </w:pPr>
      <w:r>
        <w:rPr>
          <w:rFonts w:eastAsia="宋体" w:cs="宋体" w:hint="eastAsia" w:ascii="宋体" w:hAnsi="宋体"/>
          <w:kern w:val="2"/>
          <w:sz w:val="32"/>
          <w:szCs w:val="32"/>
          <w:lang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32"/>
          <w:szCs w:val="32"/>
          <w:highlight w:val="none"/>
          <w:lang w:bidi="ar"/>
        </w:rPr>
      </w:pPr>
      <w:r>
        <w:rPr>
          <w:rFonts w:eastAsia="宋体" w:cs="宋体" w:hint="eastAsia" w:ascii="宋体" w:hAnsi="宋体"/>
          <w:kern w:val="2"/>
          <w:sz w:val="32"/>
          <w:szCs w:val="32"/>
          <w:lang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 w:val="false"/>
          <w:kern w:val="2"/>
          <w:sz w:val="44"/>
          <w:szCs w:val="44"/>
          <w:highlight w:val="none"/>
        </w:rPr>
      </w:pPr>
      <w:r>
        <w:rPr>
          <w:rFonts w:ascii="宋体" w:hAnsi="宋体" w:cs="宋体" w:hint="eastAsia"/>
          <w:b w:val="false"/>
          <w:bCs w:val="false"/>
          <w:kern w:val="2"/>
          <w:sz w:val="44"/>
          <w:szCs w:val="44"/>
          <w:lang w:bidi="ar"/>
        </w:rPr>
        <w:t>深圳市人民代表大会常务委员会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 w:val="false"/>
          <w:kern w:val="2"/>
          <w:sz w:val="44"/>
          <w:szCs w:val="44"/>
          <w:highlight w:val="none"/>
          <w:lang w:bidi="ar"/>
        </w:rPr>
      </w:pPr>
      <w:r>
        <w:rPr>
          <w:rFonts w:ascii="宋体" w:hAnsi="宋体" w:cs="宋体" w:hint="eastAsia"/>
          <w:b w:val="false"/>
          <w:bCs w:val="false"/>
          <w:kern w:val="2"/>
          <w:sz w:val="44"/>
          <w:szCs w:val="44"/>
          <w:lang w:bidi="ar"/>
        </w:rPr>
        <w:t>关于坚决查处“黄、赌、毒”违法行为的决定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bCs/>
          <w:kern w:val="2"/>
          <w:sz w:val="44"/>
          <w:szCs w:val="44"/>
          <w:highlight w:val="none"/>
          <w:lang w:bidi="ar"/>
        </w:rPr>
      </w:pPr>
      <w:r>
        <w:rPr>
          <w:rFonts w:eastAsia="宋体" w:cs="宋体" w:hint="eastAsia" w:ascii="宋体" w:hAnsi="宋体"/>
          <w:b/>
          <w:bCs/>
          <w:kern w:val="2"/>
          <w:sz w:val="44"/>
          <w:szCs w:val="44"/>
          <w:lang w:bidi="ar"/>
        </w:rPr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198" w:endChars="145"/>
        <w:jc w:val="both"/>
        <w:textAlignment w:val="auto"/>
        <w:rPr>
          <w:rFonts w:ascii="楷体_GB2312" w:hAnsi="楷体_GB2312" w:eastAsia="楷体_GB2312" w:cs="楷体_GB2312" w:hint="eastAsia"/>
          <w:kern w:val="2"/>
          <w:sz w:val="32"/>
          <w:szCs w:val="32"/>
          <w:highlight w:val="none"/>
        </w:rPr>
      </w:pPr>
      <w:r>
        <w:rPr>
          <w:rFonts w:ascii="楷体_GB2312" w:hAnsi="楷体_GB2312" w:cs="楷体_GB2312" w:hint="eastAsia" w:eastAsia="楷体_GB2312"/>
          <w:kern w:val="2"/>
          <w:sz w:val="32"/>
          <w:szCs w:val="32"/>
          <w:lang w:bidi="ar"/>
        </w:rPr>
        <w:t>（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  <w:lang w:bidi="ar"/>
        </w:rPr>
        <w:t>1999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  <w:lang w:bidi="ar"/>
        </w:rPr>
        <w:t>年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  <w:lang w:bidi="ar"/>
        </w:rPr>
        <w:t>6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  <w:lang w:bidi="ar"/>
        </w:rPr>
        <w:t>月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  <w:lang w:bidi="ar"/>
        </w:rPr>
        <w:t>30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  <w:lang w:bidi="ar"/>
        </w:rPr>
        <w:t>日深圳市第二届人民代表大会常务委员会第三十三次会议通过  根据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</w:rPr>
        <w:t>2002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</w:rPr>
        <w:t>8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kern w:val="2"/>
          <w:sz w:val="32"/>
          <w:szCs w:val="32"/>
        </w:rPr>
        <w:t>23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</w:rPr>
        <w:t>日深圳市第三届人民代表大会常务委员会第十七次会议</w:t>
      </w:r>
      <w:r>
        <w:rPr>
          <w:rFonts w:ascii="楷体_GB2312" w:hAnsi="楷体_GB2312" w:cs="楷体_GB2312" w:hint="eastAsia" w:eastAsia="楷体_GB2312"/>
          <w:sz w:val="32"/>
          <w:szCs w:val="32"/>
        </w:rPr>
        <w:t>《关于修改〈深圳市人民代表大会常务委员会关于坚决查处“黄、赌、毒”违法行为的决定〉的决定》第一次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</w:rPr>
        <w:t xml:space="preserve">修正  </w:t>
      </w:r>
      <w:r>
        <w:rPr>
          <w:rFonts w:ascii="楷体_GB2312" w:hAnsi="楷体_GB2312" w:cs="楷体_GB2312" w:hint="eastAsia" w:eastAsia="楷体_GB2312"/>
          <w:sz w:val="32"/>
          <w:szCs w:val="32"/>
        </w:rPr>
        <w:t>根据</w:t>
      </w:r>
      <w:r>
        <w:rPr>
          <w:rFonts w:eastAsia="楷体_GB2312" w:cs="楷体_GB2312" w:hint="eastAsia" w:ascii="楷体_GB2312" w:hAnsi="楷体_GB2312"/>
          <w:sz w:val="32"/>
          <w:szCs w:val="32"/>
        </w:rPr>
        <w:t>2019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10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31</w:t>
      </w:r>
      <w:r>
        <w:rPr>
          <w:rFonts w:ascii="楷体_GB2312" w:hAnsi="楷体_GB2312" w:cs="楷体_GB2312" w:hint="eastAsia" w:eastAsia="楷体_GB2312"/>
          <w:sz w:val="32"/>
          <w:szCs w:val="32"/>
        </w:rPr>
        <w:t>日深圳市第六届人民代表大会常务委员会第三十六次会议《关于修改〈深圳经济特区人体器官捐献移植条例〉等四十五项法规的决定》第二次修正</w:t>
      </w:r>
      <w:r>
        <w:rPr>
          <w:rFonts w:ascii="楷体_GB2312" w:hAnsi="楷体_GB2312" w:cs="楷体_GB2312" w:hint="eastAsia" w:eastAsia="楷体_GB2312"/>
          <w:kern w:val="2"/>
          <w:sz w:val="32"/>
          <w:szCs w:val="32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宋体" w:hAnsi="宋体" w:eastAsia="宋体" w:cs="宋体" w:hint="eastAsia"/>
          <w:kern w:val="2"/>
          <w:sz w:val="32"/>
          <w:szCs w:val="32"/>
          <w:highlight w:val="none"/>
        </w:rPr>
      </w:pPr>
      <w:r>
        <w:rPr>
          <w:rFonts w:eastAsia="仿宋_GB2312" w:cs="仿宋_GB2312" w:hint="eastAsia" w:ascii="仿宋_GB2312" w:hAnsi="仿宋_GB2312"/>
          <w:kern w:val="2"/>
          <w:sz w:val="28"/>
          <w:szCs w:val="28"/>
          <w:lang w:bidi="ar"/>
        </w:rPr>
        <w:t xml:space="preserve">   </w:t>
      </w:r>
      <w:r>
        <w:rPr>
          <w:rFonts w:eastAsia="宋体" w:cs="宋体" w:hint="eastAsia" w:ascii="宋体" w:hAnsi="宋体"/>
          <w:kern w:val="2"/>
          <w:sz w:val="32"/>
          <w:szCs w:val="32"/>
          <w:lang w:bidi="ar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为了加强我市社会主义精神文明建设，坚决查处“黄、赌、毒”违法行为，维护社会治安和社会稳定，建设社会主义法治城市，根据有关法律、法规，结合深圳市实际，制定本决定。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一、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本决定所称“黄”，主要是指以下行为：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（一）介绍、容留、引诱、强迫、组织他人卖淫的；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（二）从事卖淫、嫖娼以及在公共场所招嫖活动的；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（三）制作、复制、出版、印刷、走私、贩卖、传播淫秽和色情物品的；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（四）利用国际互联网络和电讯工具传播含有淫秽、色情内容的文字和图像的；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（五）利用娱乐、服务性场所从事淫秽活动的；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（六）法律、法规禁止的其他形式的淫秽活动。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本决定所称“赌”，主要是指以下行为：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（一）从事赌博经营活动的；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（二）在公共场所设赌的；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（三）以营利为目的，为赌博提供场所、赌具和其他便利条件的；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（四）以营利为目的赌博且赌资数额较大的。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本决定所称“毒”，主要是指以下行为：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（一）走私、贩卖、运输、制造毒品的；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（二）包庇走私、贩卖、运输、制造毒品的；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（三）非法持有毒品的；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（四）非法吸食、注射毒品的。</w:t>
      </w:r>
    </w:p>
    <w:p>
      <w:pPr>
        <w:pStyle w:val="BodyTextIndent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 w:before="0" w:after="0"/>
        <w:ind w:firstLineChars="0" w:firstLine="0" w:startChars="0" w:start="0" w:endChars="0" w:end="0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</w:rPr>
        <w:t>二、</w:t>
      </w:r>
      <w:r>
        <w:rPr>
          <w:rFonts w:ascii="仿宋_GB2312" w:hAnsi="仿宋_GB2312" w:cs="仿宋_GB2312" w:hint="eastAsia"/>
          <w:kern w:val="2"/>
          <w:sz w:val="32"/>
          <w:szCs w:val="32"/>
        </w:rPr>
        <w:t>各级人民政府及其有关部门、各级司法机关应当坚决贯彻执行《中华人民共和国刑法》《全国人民代表大会常务委员会关于严禁卖淫嫖娼的决定》《全国人民代表大会常务委员会关于禁毒的决定》《中华人民共和国治安管理处罚</w:t>
      </w:r>
      <w:r>
        <w:rPr>
          <w:rFonts w:cs="仿宋_GB2312" w:hint="eastAsia"/>
          <w:kern w:val="2"/>
          <w:sz w:val="32"/>
          <w:szCs w:val="32"/>
        </w:rPr>
        <w:t>法</w:t>
      </w:r>
      <w:r>
        <w:rPr>
          <w:rFonts w:ascii="仿宋_GB2312" w:hAnsi="仿宋_GB2312" w:cs="仿宋_GB2312" w:hint="eastAsia"/>
          <w:kern w:val="2"/>
          <w:sz w:val="32"/>
          <w:szCs w:val="32"/>
        </w:rPr>
        <w:t>》等法律、法规，各司其职，相互配合，坚决依法查处“黄、赌、毒”违法行为。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三、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公安机关应当在打击治安刑事犯罪的同时，加大对“黄、赌、毒”违法行为打击的力度，对违法行为人依法给予罚款、行政拘留等处罚；或者依法采取收容教育等强制措施；对构成犯罪的，依法追究刑事责任。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四、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市场监管部门应当加强对娱乐、服务性场所经营者的监督和管理。发现经营者从事“黄、赌、毒”违法经营活动的，应当依法采取行政强制措施，并给予行政处罚；情节严重的，应当依法暂扣或者吊销其营业执照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五、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文化广电旅游体育部门应当加强对娱乐场所、文化市场的稽查、管理，发现“黄、赌、毒”违法行为并且属于自己管辖的，应当依法没收其有关经营物品及违法所得，并给予罚款；情节严重的，依法责令其停业整顿，或者吊销文化经营许可证；不属于自己管辖的，应当及时移交或者通知有管辖权的部门处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六、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卫生健康部门应当加强对可以用于制造毒品的麻醉、精神等药品的管理。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七、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其他相关部门，应当履行法定职责，积极配合对“黄、赌、毒”违法行为的查处工作。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八、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各级有关部门要建立、健全行政执法责任制和执法过错追究制度，并定期将查处“黄、赌、毒”违法行为的情况向市人民政府和上级部门报告。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各级有关部门不认真履行法定职责，疏于管理，对“黄、赌、毒”违法行为查处不力，造成恶劣影响或者严重后果的，要对直接责任人员或者主管领导给予处分；因玩忽职守构成犯罪的，依法追究刑事责任。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九、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执法人员或者其他部门工作人员徇私舞弊，执法犯法，掩护、包庇“黄、赌、毒”违法行为，为违法者提供便利条件或者开脱责任的，由有关部门给予撤职、开除公职的处分；情节严重或者事先通谋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各级人民政府应当充分发挥基层组织的作用，引导、鼓励、支持居委会、村委会以及股份合作公司通过订立村规民约等方式，预防、抵制“黄、赌、毒”违法活动。对预防、抵制“黄、赌、毒”违法活动成绩突出的，要给予表彰和奖励；对预防和抵制不力造成“黄、赌、毒”违法现象较严重的，应当予以通报批评，并可以追究主要领导人的责任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各级人民政府和基层组织应当采取有效措施，加强对吸毒人员的监控和对已戒毒人员的跟踪教育，提高戒毒质量、降低复吸率，遏制吸毒蔓延。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十一、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学校、监护人应当加强对未成年人的教育和保护，切实采取有效措施，防止未成年人接触、参与“黄、赌、毒”违法活动，受到“黄、赌、毒”侵害。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各级有关部门或者司法机关对引诱、教唆、利用、强迫未成年人从事“黄、赌、毒”违法活动的，应当依法从重处罚。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十二、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娱乐、服务性场所的经营者在经营过程中，从事“黄、赌、毒”违法活动或者为从事“黄、赌、毒”违法活动提供便利条件，构成犯罪的，依法追究刑事责任；不构成犯罪的，由有关部门依法对单位给予行政处罚，并对直接负责的主管人员和直接责任人员给予行政处罚或者处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经营者在经营过程中放任“黄、赌、毒”违法活动的，由有关部门依法对单位给予行政处罚，并对直接负责的主管人员和直接责任人员给予行政处罚或者处分。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经营者应当配合有关部门的执法活动，不得拒绝、阻碍执法人员依法执行公务。对拒绝、阻碍执法人员依法执行公务的，由有关部门依法给予行政处罚；以暴力、威胁方法阻碍执法人员依法执行公务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十三、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房屋出租人不得将房屋出租给他人从事“黄、赌、毒”违法活动。出租人发现利用出租屋进行“黄、赌、毒”违法活动的，应当予以制止或者及时向有关部门报告。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房屋出租人发现利用出租屋进行“黄、赌、毒”违法活动而不加制止或者不报告的，由公安机关依法给予行政处罚。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十四、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国家工作人员参与“黄、赌、毒”违法活动的，除有关部门依法给予行政处罚外，所在单位应当依法给予处分；构成犯罪的，依法追究刑事责任。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十五、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各级人民政府及其部门和新闻舆论单位应当采取多种形式，加大有关法律、法规的宣传力度，使全体市民做到知法、懂法、守法，增强自觉抵制“黄、赌、毒”的能力。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十六、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有关部门应当公布查处“黄、赌、毒”举报电话。任何组织和个人发现“黄、赌、毒”违法活动都有权向有关部门举报，接到举报的部门应当认真进行调查和处理；发现不属于自己管辖的，应当及时移交或者通知有管辖权的部门处理，并告知举报人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有关部门应当严格为举报人保密，坚决打击任何对举报人进行报复的行为。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接到举报的部门对举报查证属实的，可以对举报人给予奖励，奖励标准为罚没金额的百分之五至百分之十，最高不超过三十万元。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十七、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新闻单位应当加强对有关部门查处“黄、赌、毒”违法行为的舆论监督工作。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对有“黄、赌、毒”违法行为的经营者，情节恶劣、后果严重的，有关部门可以将查实后的情况在新闻媒体上予以公布。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ascii="黑体" w:hAnsi="黑体" w:cs="黑体" w:hint="eastAsia" w:eastAsia="黑体"/>
          <w:kern w:val="2"/>
          <w:sz w:val="32"/>
          <w:szCs w:val="32"/>
          <w:lang w:bidi="ar"/>
        </w:rPr>
        <w:t>十八、</w:t>
      </w:r>
      <w:r>
        <w:rPr>
          <w:rFonts w:ascii="仿宋_GB2312" w:hAnsi="仿宋_GB2312" w:cs="仿宋_GB2312" w:hint="eastAsia" w:eastAsia="仿宋_GB2312"/>
          <w:kern w:val="2"/>
          <w:sz w:val="32"/>
          <w:szCs w:val="32"/>
          <w:lang w:bidi="ar"/>
        </w:rPr>
        <w:t>本决定自公布之日起生效，《深圳市人民代表大会常务委员会关于我市深入开展禁毒斗争的决议》同时废止。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eastAsia="仿宋_GB2312" w:cs="仿宋_GB2312" w:hint="eastAsia" w:ascii="仿宋_GB2312" w:hAnsi="仿宋_GB2312"/>
          <w:kern w:val="2"/>
          <w:sz w:val="32"/>
          <w:szCs w:val="32"/>
          <w:lang w:bidi="ar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both"/>
        <w:textAlignment w:val="auto"/>
        <w:rPr>
          <w:rFonts w:ascii="Times New Roman" w:hAnsi="Times New Roman" w:eastAsia="仿宋_GB2312" w:cs="Times New Roman"/>
          <w:kern w:val="2"/>
          <w:sz w:val="32"/>
          <w:szCs w:val="32"/>
          <w:highlight w:val="none"/>
        </w:rPr>
      </w:pPr>
      <w:r>
        <w:rPr>
          <w:rFonts w:eastAsia="仿宋_GB2312" w:cs="Times New Roman" w:ascii="Times New Roman" w:hAnsi="Times New Roman"/>
          <w:kern w:val="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end"/>
        <w:textAlignment w:val="auto"/>
        <w:rPr>
          <w:rFonts w:ascii="仿宋_GB2312" w:hAnsi="仿宋_GB2312" w:eastAsia="仿宋_GB2312" w:cs="仿宋_GB2312" w:hint="eastAsia"/>
          <w:kern w:val="2"/>
          <w:sz w:val="32"/>
          <w:szCs w:val="32"/>
          <w:highlight w:val="none"/>
        </w:rPr>
      </w:pPr>
      <w:r>
        <w:rPr>
          <w:rFonts w:eastAsia="仿宋_GB2312" w:cs="仿宋_GB2312" w:hint="eastAsia" w:ascii="仿宋_GB2312" w:hAnsi="仿宋_GB2312"/>
          <w:kern w:val="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0" w:firstLine="0" w:startChars="0" w:start="0" w:endChars="0" w:end="0"/>
        <w:jc w:val="center"/>
        <w:textAlignment w:val="auto"/>
        <w:rPr>
          <w:rFonts w:ascii="仿宋_GB2312" w:hAnsi="仿宋_GB2312" w:eastAsia="仿宋_GB2312" w:cs="仿宋_GB2312" w:hint="eastAsia"/>
          <w:sz w:val="32"/>
          <w:szCs w:val="32"/>
          <w:highlight w:val="none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 xml:space="preserve">                           </w:t>
      </w:r>
    </w:p>
    <w:sectPr>
      <w:footerReference w:type="even" r:id="rId2"/>
      <w:footerReference w:type="default" r:id="rId3"/>
      <w:type w:val="nextPage"/>
      <w:pgSz w:w="11906" w:h="16838"/>
      <w:pgMar w:left="1587" w:right="1587" w:gutter="0" w:header="0" w:top="2098" w:footer="1587" w:bottom="1814"/>
      <w:pgNumType w:start="1" w:fmt="decimal"/>
      <w:formProt w:val="false"/>
      <w:textDirection w:val="lrTb"/>
      <w:docGrid w:type="linesAndChars" w:linePitch="579" w:charSpace="429496545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auto"/>
    <w:pitch w:val="default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7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0330" cy="303530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3.9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6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4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31750</wp:posOffset>
              </wp:positionV>
              <wp:extent cx="100330" cy="3035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keepNext w:val="false"/>
                            <w:keepLines w:val="false"/>
                            <w:pageBreakBefore w:val="false"/>
                            <w:widowControl w:val="false"/>
                            <w:kinsoku w:val="true"/>
                            <w:overflowPunct w:val="true"/>
                            <w:autoSpaceDE w:val="true"/>
                            <w:bidi w:val="0"/>
                            <w:snapToGrid w:val="false"/>
                            <w:spacing w:lineRule="auto" w:line="240"/>
                            <w:ind w:firstLineChars="0" w:firstLine="0" w:startChars="0" w:start="0" w:endChars="200"/>
                            <w:jc w:val="both"/>
                            <w:textAlignment w:val="auto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3.9pt;mso-wrap-distance-left:9.05pt;mso-wrap-distance-right:0pt;mso-wrap-distance-top:0pt;mso-wrap-distance-bottom:0pt;margin-top:2.5pt;mso-position-vertical-relative:text;margin-left:428.7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keepNext w:val="false"/>
                      <w:keepLines w:val="false"/>
                      <w:pageBreakBefore w:val="false"/>
                      <w:widowControl w:val="false"/>
                      <w:kinsoku w:val="true"/>
                      <w:overflowPunct w:val="true"/>
                      <w:autoSpaceDE w:val="true"/>
                      <w:bidi w:val="0"/>
                      <w:snapToGrid w:val="false"/>
                      <w:spacing w:lineRule="auto" w:line="240"/>
                      <w:ind w:firstLineChars="0" w:firstLine="0" w:startChars="0" w:start="0" w:endChars="200"/>
                      <w:jc w:val="both"/>
                      <w:textAlignment w:val="auto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5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0"/>
      <w:lang w:val="en-US" w:eastAsia="zh-CN" w:bidi="hi-IN"/>
    </w:rPr>
  </w:style>
  <w:style w:type="character" w:styleId="Style14">
    <w:name w:val="默认段落字体"/>
    <w:qFormat/>
    <w:rPr/>
  </w:style>
  <w:style w:type="character" w:styleId="15">
    <w:name w:val="15"/>
    <w:basedOn w:val="Style14"/>
    <w:qFormat/>
    <w:rPr>
      <w:rFonts w:ascii="Times New Roman" w:hAnsi="Times New Roman" w:cs="Times New Roman"/>
    </w:rPr>
  </w:style>
  <w:style w:type="character" w:styleId="10">
    <w:name w:val="10"/>
    <w:basedOn w:val="Style14"/>
    <w:qFormat/>
    <w:rPr>
      <w:rFonts w:ascii="Times New Roman" w:hAnsi="Times New Roman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keepNext w:val="false"/>
      <w:keepLines w:val="false"/>
      <w:widowControl w:val="false"/>
      <w:spacing w:before="0" w:after="0"/>
      <w:ind w:hanging="0" w:start="0" w:end="0"/>
      <w:jc w:val="both"/>
    </w:pPr>
    <w:rPr>
      <w:rFonts w:ascii="Times New Roman" w:hAnsi="Times New Roman" w:eastAsia="仿宋_GB2312" w:cs="Times New Roman"/>
      <w:kern w:val="2"/>
      <w:sz w:val="32"/>
      <w:szCs w:val="32"/>
      <w:lang w:bidi="ar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keepNext w:val="false"/>
      <w:keepLines w:val="false"/>
      <w:widowControl w:val="false"/>
      <w:spacing w:lineRule="exact" w:line="520" w:before="0" w:after="0"/>
      <w:ind w:firstLine="645" w:start="0" w:end="0"/>
      <w:jc w:val="both"/>
    </w:pPr>
    <w:rPr>
      <w:rFonts w:ascii="仿宋_GB2312" w:hAnsi="仿宋_GB2312" w:eastAsia="仿宋_GB2312" w:cs="仿宋_GB2312" w:hint="eastAsia"/>
      <w:kern w:val="2"/>
      <w:sz w:val="32"/>
      <w:szCs w:val="32"/>
      <w:lang w:bidi="ar"/>
    </w:rPr>
  </w:style>
  <w:style w:type="paragraph" w:styleId="Style15">
    <w:name w:val="批注文字"/>
    <w:basedOn w:val="Normal"/>
    <w:qFormat/>
    <w:pPr>
      <w:jc w:val="star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36000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2017-01-05T17:53:42Z</dcterms:created>
  <dc:creator>Administrator</dc:creator>
  <dc:description/>
  <dc:language>en-US</dc:language>
  <cp:lastModifiedBy>chang</cp:lastModifiedBy>
  <dcterms:modified xsi:type="dcterms:W3CDTF">2020-02-16T15:53:44Z</dcterms:modified>
  <cp:revision>1</cp:revision>
  <dc:subject/>
  <dc:title>深圳市第四届人民代表大会常务委员会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