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false"/>
        <w:bidi w:val="0"/>
        <w:spacing w:lineRule="exact" w:line="590"/>
        <w:ind w:firstLineChars="200" w:startChars="0" w:start="0" w:endChars="0" w:end="0"/>
        <w:textAlignment w:val="auto"/>
        <w:rPr>
          <w:rFonts w:ascii="宋体" w:hAnsi="宋体" w:eastAsia="仿宋_GB2312" w:cs="宋体" w:hint="eastAsia"/>
          <w:sz w:val="32"/>
          <w:szCs w:val="32"/>
          <w:highlight w:val="none"/>
        </w:rPr>
      </w:pPr>
      <w:r>
        <w:rPr>
          <w:rFonts w:eastAsia="仿宋_GB2312" w:cs="宋体" w:hint="eastAsia" w:ascii="宋体" w:hAnsi="宋体"/>
          <w:sz w:val="32"/>
          <w:szCs w:val="32"/>
        </w:rPr>
      </w:r>
    </w:p>
    <w:p>
      <w:pPr>
        <w:pStyle w:val="Style15"/>
        <w:keepNext w:val="false"/>
        <w:keepLines w:val="false"/>
        <w:pageBreakBefore w:val="false"/>
        <w:widowControl w:val="false"/>
        <w:kinsoku w:val="true"/>
        <w:overflowPunct w:val="false"/>
        <w:autoSpaceDE w:val="true"/>
        <w:bidi w:val="0"/>
        <w:spacing w:lineRule="exact" w:line="590"/>
        <w:ind w:endChars="0" w:end="0"/>
        <w:jc w:val="both"/>
        <w:textAlignment w:val="auto"/>
        <w:rPr>
          <w:rFonts w:ascii="宋体" w:hAnsi="宋体" w:eastAsia="仿宋_GB2312" w:cs="宋体" w:hint="eastAsia"/>
          <w:sz w:val="32"/>
          <w:szCs w:val="32"/>
          <w:highlight w:val="none"/>
        </w:rPr>
      </w:pPr>
      <w:r>
        <w:rPr>
          <w:rFonts w:eastAsia="仿宋_GB2312" w:cs="宋体" w:hint="eastAsia" w:ascii="宋体" w:hAnsi="宋体"/>
          <w:sz w:val="32"/>
          <w:szCs w:val="32"/>
        </w:rPr>
      </w:r>
    </w:p>
    <w:p>
      <w:pPr>
        <w:pStyle w:val="Normal"/>
        <w:keepNext w:val="false"/>
        <w:keepLines w:val="false"/>
        <w:pageBreakBefore w:val="false"/>
        <w:kinsoku w:val="true"/>
        <w:overflowPunct w:val="true"/>
        <w:autoSpaceDE w:val="true"/>
        <w:bidi w:val="0"/>
        <w:spacing w:lineRule="exact" w:line="590"/>
        <w:jc w:val="center"/>
        <w:textAlignment w:val="auto"/>
        <w:rPr>
          <w:rFonts w:ascii="宋体" w:hAnsi="宋体" w:eastAsia="宋体" w:cs="宋体" w:hint="eastAsia"/>
          <w:bCs/>
          <w:color w:val="000000"/>
          <w:kern w:val="2"/>
          <w:sz w:val="44"/>
          <w:szCs w:val="44"/>
        </w:rPr>
      </w:pPr>
      <w:r>
        <w:rPr>
          <w:rFonts w:ascii="宋体" w:hAnsi="宋体" w:cs="宋体" w:hint="eastAsia" w:eastAsia="宋体"/>
          <w:color w:val="000000"/>
          <w:kern w:val="2"/>
          <w:sz w:val="44"/>
          <w:szCs w:val="44"/>
        </w:rPr>
        <w:t>梅州市客家围龙屋保护条例</w:t>
      </w:r>
    </w:p>
    <w:p>
      <w:pPr>
        <w:pStyle w:val="Normal"/>
        <w:keepNext w:val="false"/>
        <w:keepLines w:val="false"/>
        <w:pageBreakBefore w:val="false"/>
        <w:widowControl/>
        <w:kinsoku w:val="true"/>
        <w:overflowPunct w:val="true"/>
        <w:autoSpaceDE w:val="true"/>
        <w:bidi w:val="0"/>
        <w:snapToGrid w:val="false"/>
        <w:spacing w:lineRule="exact" w:line="590"/>
        <w:ind w:firstLineChars="200" w:startChars="0" w:start="0" w:endChars="0" w:end="0"/>
        <w:jc w:val="center"/>
        <w:textAlignment w:val="auto"/>
        <w:rPr>
          <w:rFonts w:ascii="宋体" w:hAnsi="宋体" w:eastAsia="楷体_GB2312" w:cs="Times New Roman" w:hint="eastAsia"/>
          <w:bCs/>
          <w:color w:val="000000"/>
          <w:kern w:val="2"/>
          <w:sz w:val="44"/>
          <w:szCs w:val="44"/>
        </w:rPr>
      </w:pPr>
      <w:r>
        <w:rPr>
          <w:rFonts w:eastAsia="楷体_GB2312" w:cs="Times New Roman" w:hint="eastAsia" w:ascii="宋体" w:hAnsi="宋体"/>
          <w:bCs/>
          <w:color w:val="000000"/>
          <w:kern w:val="2"/>
          <w:sz w:val="44"/>
          <w:szCs w:val="44"/>
        </w:rPr>
      </w:r>
    </w:p>
    <w:p>
      <w:pPr>
        <w:pStyle w:val="Normal"/>
        <w:keepNext w:val="false"/>
        <w:keepLines w:val="false"/>
        <w:pageBreakBefore w:val="false"/>
        <w:widowControl/>
        <w:kinsoku w:val="true"/>
        <w:overflowPunct w:val="true"/>
        <w:autoSpaceDE w:val="true"/>
        <w:bidi w:val="0"/>
        <w:snapToGrid w:val="false"/>
        <w:spacing w:lineRule="exact" w:line="590"/>
        <w:ind w:firstLineChars="200" w:startChars="0" w:start="0" w:endChars="0" w:end="0"/>
        <w:jc w:val="start"/>
        <w:textAlignment w:val="auto"/>
        <w:rPr>
          <w:rFonts w:ascii="宋体" w:hAnsi="宋体" w:eastAsia="楷体" w:cs="Times New Roman"/>
          <w:color w:val="000000"/>
          <w:kern w:val="2"/>
          <w:szCs w:val="32"/>
        </w:rPr>
      </w:pPr>
      <w:r>
        <w:rPr>
          <w:rFonts w:ascii="宋体" w:hAnsi="宋体" w:cs="Times New Roman" w:hint="eastAsia" w:eastAsia="楷体_GB2312"/>
          <w:color w:val="000000"/>
        </w:rPr>
        <w:t>（</w:t>
      </w:r>
      <w:r>
        <w:rPr>
          <w:rFonts w:eastAsia="楷体_GB2312" w:cs="Times New Roman" w:hint="eastAsia" w:ascii="宋体" w:hAnsi="宋体"/>
          <w:color w:val="000000"/>
        </w:rPr>
        <w:t>2017</w:t>
      </w:r>
      <w:r>
        <w:rPr>
          <w:rFonts w:ascii="宋体" w:hAnsi="宋体" w:cs="Times New Roman" w:hint="eastAsia" w:eastAsia="楷体_GB2312"/>
          <w:color w:val="000000"/>
        </w:rPr>
        <w:t>年</w:t>
      </w:r>
      <w:r>
        <w:rPr>
          <w:rFonts w:eastAsia="楷体_GB2312" w:cs="Times New Roman" w:hint="eastAsia" w:ascii="宋体" w:hAnsi="宋体"/>
          <w:color w:val="000000"/>
        </w:rPr>
        <w:t>10</w:t>
      </w:r>
      <w:r>
        <w:rPr>
          <w:rFonts w:ascii="宋体" w:hAnsi="宋体" w:cs="Times New Roman" w:hint="eastAsia" w:eastAsia="楷体_GB2312"/>
          <w:color w:val="000000"/>
        </w:rPr>
        <w:t>月</w:t>
      </w:r>
      <w:r>
        <w:rPr>
          <w:rFonts w:eastAsia="楷体_GB2312" w:cs="Times New Roman" w:hint="eastAsia" w:ascii="宋体" w:hAnsi="宋体"/>
          <w:color w:val="000000"/>
        </w:rPr>
        <w:t>11</w:t>
      </w:r>
      <w:r>
        <w:rPr>
          <w:rFonts w:ascii="宋体" w:hAnsi="宋体" w:cs="Times New Roman" w:hint="eastAsia" w:eastAsia="楷体_GB2312"/>
          <w:color w:val="000000"/>
        </w:rPr>
        <w:t xml:space="preserve">日梅州市第七届人民代表大会常务委员会第六次会议通过  </w:t>
      </w:r>
      <w:r>
        <w:rPr>
          <w:rFonts w:eastAsia="楷体_GB2312" w:cs="Times New Roman" w:hint="eastAsia" w:ascii="宋体" w:hAnsi="宋体"/>
          <w:color w:val="000000"/>
        </w:rPr>
        <w:t>2017</w:t>
      </w:r>
      <w:r>
        <w:rPr>
          <w:rFonts w:ascii="宋体" w:hAnsi="宋体" w:cs="Times New Roman" w:hint="eastAsia" w:eastAsia="楷体_GB2312"/>
          <w:color w:val="000000"/>
        </w:rPr>
        <w:t>年</w:t>
      </w:r>
      <w:r>
        <w:rPr>
          <w:rFonts w:eastAsia="楷体_GB2312" w:cs="Times New Roman" w:hint="eastAsia" w:ascii="宋体" w:hAnsi="宋体"/>
          <w:color w:val="000000"/>
        </w:rPr>
        <w:t>11</w:t>
      </w:r>
      <w:r>
        <w:rPr>
          <w:rFonts w:ascii="宋体" w:hAnsi="宋体" w:cs="Times New Roman" w:hint="eastAsia" w:eastAsia="楷体_GB2312"/>
          <w:color w:val="000000"/>
        </w:rPr>
        <w:t>月</w:t>
      </w:r>
      <w:r>
        <w:rPr>
          <w:rFonts w:eastAsia="楷体_GB2312" w:cs="Times New Roman" w:hint="eastAsia" w:ascii="宋体" w:hAnsi="宋体"/>
          <w:color w:val="000000"/>
        </w:rPr>
        <w:t>30</w:t>
      </w:r>
      <w:r>
        <w:rPr>
          <w:rFonts w:ascii="宋体" w:hAnsi="宋体" w:cs="Times New Roman" w:hint="eastAsia" w:eastAsia="楷体_GB2312"/>
          <w:color w:val="000000"/>
        </w:rPr>
        <w:t xml:space="preserve">日广东省第十二届人民代表大会常务委员会第三十七次会议批准  </w:t>
      </w:r>
      <w:r>
        <w:rPr>
          <w:rFonts w:ascii="宋体" w:hAnsi="宋体" w:cs="仿宋_GB2312" w:hint="eastAsia" w:eastAsia="楷体_GB2312"/>
          <w:color w:val="000000"/>
        </w:rPr>
        <w:t>根据</w:t>
      </w:r>
      <w:r>
        <w:rPr>
          <w:rFonts w:eastAsia="楷体_GB2312" w:cs="仿宋_GB2312" w:hint="eastAsia" w:ascii="宋体" w:hAnsi="宋体"/>
          <w:color w:val="000000"/>
        </w:rPr>
        <w:t>2021</w:t>
      </w:r>
      <w:r>
        <w:rPr>
          <w:rFonts w:ascii="宋体" w:hAnsi="宋体" w:cs="仿宋_GB2312" w:hint="eastAsia" w:eastAsia="楷体_GB2312"/>
          <w:color w:val="000000"/>
        </w:rPr>
        <w:t>年</w:t>
      </w:r>
      <w:r>
        <w:rPr>
          <w:rFonts w:eastAsia="楷体_GB2312" w:cs="仿宋_GB2312" w:hint="eastAsia" w:ascii="宋体" w:hAnsi="宋体"/>
          <w:color w:val="000000"/>
        </w:rPr>
        <w:t>8</w:t>
      </w:r>
      <w:r>
        <w:rPr>
          <w:rFonts w:ascii="宋体" w:hAnsi="宋体" w:cs="仿宋_GB2312" w:hint="eastAsia" w:eastAsia="楷体_GB2312"/>
          <w:color w:val="000000"/>
        </w:rPr>
        <w:t>月</w:t>
      </w:r>
      <w:r>
        <w:rPr>
          <w:rFonts w:eastAsia="楷体_GB2312" w:cs="仿宋_GB2312" w:hint="eastAsia" w:ascii="宋体" w:hAnsi="宋体"/>
          <w:color w:val="000000"/>
        </w:rPr>
        <w:t>6</w:t>
      </w:r>
      <w:r>
        <w:rPr>
          <w:rFonts w:ascii="宋体" w:hAnsi="宋体" w:cs="仿宋_GB2312" w:hint="eastAsia" w:eastAsia="楷体_GB2312"/>
          <w:color w:val="000000"/>
        </w:rPr>
        <w:t>日梅州市第七届人民代表大会常务委员会第四十五次会议通过并经</w:t>
      </w:r>
      <w:r>
        <w:rPr>
          <w:rFonts w:eastAsia="楷体_GB2312" w:cs="仿宋_GB2312" w:hint="eastAsia" w:ascii="宋体" w:hAnsi="宋体"/>
          <w:color w:val="000000"/>
        </w:rPr>
        <w:t>2021</w:t>
      </w:r>
      <w:r>
        <w:rPr>
          <w:rFonts w:ascii="宋体" w:hAnsi="宋体" w:cs="仿宋_GB2312" w:hint="eastAsia" w:eastAsia="楷体_GB2312"/>
          <w:color w:val="000000"/>
        </w:rPr>
        <w:t>年</w:t>
      </w:r>
      <w:r>
        <w:rPr>
          <w:rFonts w:eastAsia="楷体_GB2312" w:cs="仿宋_GB2312" w:hint="eastAsia" w:ascii="宋体" w:hAnsi="宋体"/>
          <w:color w:val="000000"/>
        </w:rPr>
        <w:t>9</w:t>
      </w:r>
      <w:r>
        <w:rPr>
          <w:rFonts w:ascii="宋体" w:hAnsi="宋体" w:cs="仿宋_GB2312" w:hint="eastAsia" w:eastAsia="楷体_GB2312"/>
          <w:color w:val="000000"/>
        </w:rPr>
        <w:t>月</w:t>
      </w:r>
      <w:r>
        <w:rPr>
          <w:rFonts w:eastAsia="楷体_GB2312" w:cs="仿宋_GB2312" w:hint="eastAsia" w:ascii="宋体" w:hAnsi="宋体"/>
          <w:color w:val="000000"/>
        </w:rPr>
        <w:t>29</w:t>
      </w:r>
      <w:r>
        <w:rPr>
          <w:rFonts w:ascii="宋体" w:hAnsi="宋体" w:cs="仿宋_GB2312" w:hint="eastAsia" w:eastAsia="楷体_GB2312"/>
          <w:color w:val="000000"/>
        </w:rPr>
        <w:t>日广东省第十三届人民代表大会常务委员会第三十五次会议批准的《关于修改〈梅州市客家围龙屋保护条例〉〈梅州市城市市容和环境卫生管理条例〉等两项地方性法规的决定》修正</w:t>
      </w:r>
      <w:r>
        <w:rPr>
          <w:rFonts w:ascii="宋体" w:hAnsi="宋体" w:cs="Times New Roman" w:hint="eastAsia" w:eastAsia="楷体_GB2312"/>
          <w:color w:val="000000"/>
        </w:rPr>
        <w:t>）</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宋体" w:cs="宋体"/>
          <w:color w:val="000000"/>
          <w:kern w:val="2"/>
          <w:sz w:val="30"/>
          <w:szCs w:val="22"/>
        </w:rPr>
      </w:pPr>
      <w:r>
        <w:rPr>
          <w:rFonts w:eastAsia="宋体" w:cs="宋体" w:ascii="宋体" w:hAnsi="宋体"/>
          <w:color w:val="000000"/>
          <w:kern w:val="2"/>
          <w:sz w:val="30"/>
          <w:szCs w:val="22"/>
        </w:rPr>
      </w:r>
    </w:p>
    <w:p>
      <w:pPr>
        <w:pStyle w:val="1"/>
        <w:rPr>
          <w:rFonts w:ascii="宋体" w:hAnsi="宋体" w:eastAsia="宋体" w:cs="宋体"/>
          <w:color w:val="000000"/>
          <w:kern w:val="2"/>
          <w:sz w:val="30"/>
          <w:szCs w:val="22"/>
        </w:rPr>
      </w:pPr>
      <w:r>
        <w:rPr>
          <w:rFonts w:eastAsia="宋体" w:cs="宋体" w:ascii="宋体" w:hAnsi="宋体"/>
          <w:color w:val="000000"/>
          <w:kern w:val="2"/>
          <w:sz w:val="30"/>
          <w:szCs w:val="22"/>
        </w:rPr>
      </w:r>
    </w:p>
    <w:p>
      <w:pPr>
        <w:pStyle w:val="Normal"/>
        <w:spacing w:lineRule="exact" w:line="590" w:before="0" w:after="0"/>
        <w:ind w:firstLineChars="200" w:startChars="0" w:start="0" w:endChars="0" w:end="0"/>
        <w:contextualSpacing/>
        <w:jc w:val="center"/>
        <w:rPr>
          <w:rFonts w:ascii="宋体" w:hAnsi="宋体" w:eastAsia="楷体_GB2312" w:cs="Times New Roman" w:hint="eastAsia"/>
        </w:rPr>
      </w:pPr>
      <w:r>
        <w:rPr>
          <w:rFonts w:ascii="宋体" w:hAnsi="宋体" w:cs="Times New Roman" w:hint="eastAsia" w:eastAsia="楷体_GB2312"/>
        </w:rPr>
        <w:t>目  录</w:t>
      </w:r>
    </w:p>
    <w:p>
      <w:pPr>
        <w:pStyle w:val="Normal"/>
        <w:spacing w:lineRule="exact" w:line="590" w:before="0" w:after="0"/>
        <w:ind w:firstLineChars="200" w:startChars="0" w:start="0" w:endChars="0" w:end="0"/>
        <w:contextualSpacing/>
        <w:jc w:val="start"/>
        <w:rPr>
          <w:rFonts w:ascii="宋体" w:hAnsi="宋体" w:eastAsia="楷体_GB2312" w:cs="Times New Roman" w:hint="eastAsia"/>
        </w:rPr>
      </w:pPr>
      <w:r>
        <w:rPr>
          <w:rFonts w:ascii="宋体" w:hAnsi="宋体" w:cs="Times New Roman" w:hint="eastAsia" w:eastAsia="楷体_GB2312"/>
        </w:rPr>
        <w:t>第一章  总  则</w:t>
      </w:r>
    </w:p>
    <w:p>
      <w:pPr>
        <w:pStyle w:val="Normal"/>
        <w:spacing w:lineRule="exact" w:line="590" w:before="0" w:after="0"/>
        <w:ind w:firstLineChars="200" w:startChars="0" w:start="0" w:endChars="0" w:end="0"/>
        <w:contextualSpacing/>
        <w:jc w:val="start"/>
        <w:rPr>
          <w:rFonts w:ascii="宋体" w:hAnsi="宋体" w:eastAsia="楷体_GB2312" w:cs="Times New Roman" w:hint="eastAsia"/>
        </w:rPr>
      </w:pPr>
      <w:r>
        <w:rPr>
          <w:rFonts w:ascii="宋体" w:hAnsi="宋体" w:cs="Times New Roman" w:hint="eastAsia" w:eastAsia="楷体_GB2312"/>
        </w:rPr>
        <w:t>第二章  保护名录和保护规划</w:t>
      </w:r>
    </w:p>
    <w:p>
      <w:pPr>
        <w:pStyle w:val="Normal"/>
        <w:spacing w:lineRule="exact" w:line="590" w:before="0" w:after="0"/>
        <w:ind w:firstLineChars="200" w:startChars="0" w:start="0" w:endChars="0" w:end="0"/>
        <w:contextualSpacing/>
        <w:jc w:val="start"/>
        <w:rPr>
          <w:rFonts w:ascii="宋体" w:hAnsi="宋体" w:eastAsia="楷体_GB2312" w:cs="Times New Roman" w:hint="eastAsia"/>
        </w:rPr>
      </w:pPr>
      <w:r>
        <w:rPr>
          <w:rFonts w:ascii="宋体" w:hAnsi="宋体" w:cs="Times New Roman" w:hint="eastAsia" w:eastAsia="楷体_GB2312"/>
        </w:rPr>
        <w:t>第三章  保护和利用</w:t>
      </w:r>
    </w:p>
    <w:p>
      <w:pPr>
        <w:pStyle w:val="Normal"/>
        <w:spacing w:lineRule="exact" w:line="590" w:before="0" w:after="0"/>
        <w:ind w:firstLineChars="200" w:startChars="0" w:start="0" w:endChars="0" w:end="0"/>
        <w:contextualSpacing/>
        <w:jc w:val="start"/>
        <w:rPr>
          <w:rFonts w:ascii="宋体" w:hAnsi="宋体" w:eastAsia="楷体_GB2312" w:cs="Times New Roman" w:hint="eastAsia"/>
        </w:rPr>
      </w:pPr>
      <w:r>
        <w:rPr>
          <w:rFonts w:ascii="宋体" w:hAnsi="宋体" w:cs="Times New Roman" w:hint="eastAsia" w:eastAsia="楷体_GB2312"/>
        </w:rPr>
        <w:t>第四章  资金保障</w:t>
      </w:r>
    </w:p>
    <w:p>
      <w:pPr>
        <w:pStyle w:val="Normal"/>
        <w:spacing w:lineRule="exact" w:line="590" w:before="0" w:after="0"/>
        <w:ind w:firstLineChars="200" w:startChars="0" w:start="0" w:endChars="0" w:end="0"/>
        <w:contextualSpacing/>
        <w:jc w:val="start"/>
        <w:rPr>
          <w:rFonts w:ascii="宋体" w:hAnsi="宋体" w:eastAsia="楷体_GB2312" w:cs="Times New Roman" w:hint="eastAsia"/>
        </w:rPr>
      </w:pPr>
      <w:r>
        <w:rPr>
          <w:rFonts w:ascii="宋体" w:hAnsi="宋体" w:cs="Times New Roman" w:hint="eastAsia" w:eastAsia="楷体_GB2312"/>
        </w:rPr>
        <w:t>第五章  法律责任</w:t>
      </w:r>
    </w:p>
    <w:p>
      <w:pPr>
        <w:pStyle w:val="Normal"/>
        <w:spacing w:lineRule="exact" w:line="590" w:before="0" w:after="0"/>
        <w:ind w:firstLineChars="200" w:startChars="0" w:start="0" w:endChars="0" w:end="0"/>
        <w:contextualSpacing/>
        <w:jc w:val="start"/>
        <w:rPr>
          <w:rFonts w:ascii="宋体" w:hAnsi="宋体" w:eastAsia="楷体_GB2312" w:cs="Times New Roman" w:hint="eastAsia"/>
        </w:rPr>
      </w:pPr>
      <w:r>
        <w:rPr>
          <w:rFonts w:ascii="宋体" w:hAnsi="宋体" w:cs="Times New Roman" w:hint="eastAsia" w:eastAsia="楷体_GB2312"/>
        </w:rPr>
        <w:t>第六章  附则</w:t>
      </w:r>
    </w:p>
    <w:p>
      <w:pPr>
        <w:pStyle w:val="1"/>
        <w:rPr>
          <w:rFonts w:ascii="宋体" w:hAnsi="宋体" w:eastAsia="楷体_GB2312" w:cs="Times New Roman" w:hint="eastAsia"/>
        </w:rPr>
      </w:pPr>
      <w:r>
        <w:rPr>
          <w:rFonts w:eastAsia="楷体_GB2312" w:cs="Times New Roman" w:hint="eastAsia" w:ascii="宋体" w:hAnsi="宋体"/>
        </w:rPr>
      </w:r>
    </w:p>
    <w:p>
      <w:pPr>
        <w:pStyle w:val="Normal"/>
        <w:keepNext w:val="false"/>
        <w:keepLines w:val="false"/>
        <w:pageBreakBefore w:val="false"/>
        <w:kinsoku w:val="true"/>
        <w:overflowPunct w:val="true"/>
        <w:autoSpaceDE w:val="true"/>
        <w:bidi w:val="0"/>
        <w:spacing w:lineRule="exact" w:line="590"/>
        <w:ind w:firstLineChars="200" w:startChars="0" w:start="0" w:endChars="0" w:end="0"/>
        <w:jc w:val="center"/>
        <w:textAlignment w:val="auto"/>
        <w:rPr>
          <w:rFonts w:ascii="黑体" w:hAnsi="黑体" w:eastAsia="黑体" w:cs="黑体" w:hint="eastAsia"/>
          <w:color w:val="000000"/>
          <w:kern w:val="2"/>
          <w:szCs w:val="32"/>
        </w:rPr>
      </w:pPr>
      <w:r>
        <w:rPr>
          <w:rFonts w:eastAsia="黑体" w:cs="黑体" w:hint="eastAsia" w:ascii="黑体" w:hAnsi="黑体"/>
          <w:color w:val="000000"/>
          <w:kern w:val="2"/>
          <w:szCs w:val="32"/>
        </w:rPr>
      </w:r>
    </w:p>
    <w:p>
      <w:pPr>
        <w:pStyle w:val="Normal"/>
        <w:keepNext w:val="false"/>
        <w:keepLines w:val="false"/>
        <w:pageBreakBefore w:val="false"/>
        <w:kinsoku w:val="true"/>
        <w:overflowPunct w:val="true"/>
        <w:autoSpaceDE w:val="true"/>
        <w:bidi w:val="0"/>
        <w:spacing w:lineRule="exact" w:line="590"/>
        <w:ind w:firstLineChars="200" w:startChars="0" w:start="0" w:endChars="0" w:end="0"/>
        <w:jc w:val="center"/>
        <w:textAlignment w:val="auto"/>
        <w:rPr>
          <w:rFonts w:ascii="宋体" w:hAnsi="宋体" w:cs="仿宋_GB2312" w:hint="eastAsia"/>
          <w:color w:val="000000"/>
          <w:kern w:val="2"/>
          <w:szCs w:val="32"/>
        </w:rPr>
      </w:pPr>
      <w:r>
        <w:rPr>
          <w:rFonts w:ascii="黑体" w:hAnsi="黑体" w:cs="黑体" w:hint="eastAsia" w:eastAsia="黑体"/>
          <w:color w:val="000000"/>
          <w:kern w:val="2"/>
          <w:szCs w:val="32"/>
        </w:rPr>
        <w:t>第一章  总  则</w:t>
      </w:r>
    </w:p>
    <w:p>
      <w:pPr>
        <w:pStyle w:val="Normal"/>
        <w:keepNext w:val="false"/>
        <w:keepLines w:val="false"/>
        <w:pageBreakBefore w:val="false"/>
        <w:kinsoku w:val="true"/>
        <w:overflowPunct w:val="true"/>
        <w:autoSpaceDE w:val="true"/>
        <w:bidi w:val="0"/>
        <w:spacing w:lineRule="exact" w:line="590"/>
        <w:jc w:val="center"/>
        <w:textAlignment w:val="auto"/>
        <w:rPr>
          <w:rFonts w:ascii="宋体" w:hAnsi="宋体" w:eastAsia="黑体" w:cs="黑体" w:hint="eastAsia"/>
          <w:color w:val="000000"/>
          <w:kern w:val="2"/>
          <w:szCs w:val="32"/>
        </w:rPr>
      </w:pPr>
      <w:r>
        <w:rPr>
          <w:rFonts w:eastAsia="黑体" w:cs="黑体" w:hint="eastAsia" w:ascii="宋体" w:hAnsi="宋体"/>
          <w:color w:val="000000"/>
          <w:kern w:val="2"/>
          <w:szCs w:val="32"/>
        </w:rPr>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黑体" w:hAnsi="黑体" w:cs="黑体" w:hint="eastAsia" w:eastAsia="黑体"/>
          <w:color w:val="000000"/>
          <w:kern w:val="2"/>
          <w:szCs w:val="32"/>
        </w:rPr>
        <w:t>第一条</w:t>
      </w:r>
      <w:r>
        <w:rPr>
          <w:rFonts w:ascii="宋体" w:hAnsi="宋体" w:cs="仿宋_GB2312" w:hint="eastAsia"/>
          <w:color w:val="000000"/>
          <w:kern w:val="2"/>
          <w:szCs w:val="32"/>
        </w:rPr>
        <w:t xml:space="preserve">  为了加强客家围龙屋保护，传承客家优秀传统文化，根据《中华人民共和国文物保护法》《中华人民共和国城乡规划法》《历史文化名城名镇名村保护条例》等法律法规，结合本市实际，制定本条例。</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黑体" w:hAnsi="黑体" w:cs="黑体" w:hint="eastAsia" w:eastAsia="黑体"/>
          <w:color w:val="000000"/>
          <w:kern w:val="2"/>
          <w:szCs w:val="32"/>
        </w:rPr>
        <w:t>第二条</w:t>
      </w:r>
      <w:r>
        <w:rPr>
          <w:rFonts w:ascii="宋体" w:hAnsi="宋体" w:cs="仿宋_GB2312" w:hint="eastAsia"/>
          <w:color w:val="000000"/>
          <w:kern w:val="2"/>
          <w:szCs w:val="32"/>
        </w:rPr>
        <w:t xml:space="preserve">  本条例适用于本市行政区域内客家围龙屋的保护。</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
          <w:color w:val="000000"/>
          <w:kern w:val="2"/>
          <w:szCs w:val="32"/>
        </w:rPr>
      </w:pPr>
      <w:r>
        <w:rPr>
          <w:rFonts w:ascii="宋体" w:hAnsi="宋体" w:cs="仿宋_GB2312" w:hint="eastAsia"/>
          <w:color w:val="000000"/>
          <w:kern w:val="2"/>
          <w:szCs w:val="32"/>
        </w:rPr>
        <w:t>本条例所称客家围龙屋，是指建筑主体前部分由堂屋与横屋构成方形，后部分由化胎与围屋构成半圆形，形态呈前方后圆，与建筑主体前的禾坪和半圆形水塘构成整体为椭圆形的以及因历史、地形、地势等原因造成半圆形水塘缺失的建筑物、构筑物。</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黑体" w:hAnsi="黑体" w:cs="黑体" w:hint="eastAsia" w:eastAsia="黑体"/>
          <w:color w:val="000000"/>
          <w:kern w:val="2"/>
          <w:szCs w:val="32"/>
        </w:rPr>
        <w:t>第三条</w:t>
      </w:r>
      <w:r>
        <w:rPr>
          <w:rFonts w:ascii="宋体" w:hAnsi="宋体" w:cs="Times New Roman" w:hint="eastAsia"/>
          <w:color w:val="000000"/>
          <w:kern w:val="2"/>
          <w:szCs w:val="32"/>
        </w:rPr>
        <w:t xml:space="preserve">  客家围龙屋保护遵循</w:t>
      </w:r>
      <w:r>
        <w:rPr>
          <w:rFonts w:ascii="宋体" w:hAnsi="宋体" w:cs="仿宋_GB2312" w:hint="eastAsia"/>
          <w:color w:val="000000"/>
          <w:kern w:val="2"/>
          <w:szCs w:val="32"/>
        </w:rPr>
        <w:t>保护为主、科学规划、分类管理、合理利用的原则，维护客家围龙屋的真实性、完整性和可持续性。</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 w:hint="eastAsia"/>
          <w:color w:val="000000"/>
          <w:kern w:val="2"/>
          <w:szCs w:val="32"/>
        </w:rPr>
      </w:pPr>
      <w:r>
        <w:rPr>
          <w:rFonts w:ascii="黑体" w:hAnsi="黑体" w:cs="黑体" w:hint="eastAsia" w:eastAsia="黑体"/>
          <w:color w:val="000000"/>
          <w:kern w:val="2"/>
          <w:szCs w:val="32"/>
        </w:rPr>
        <w:t>第四条</w:t>
      </w:r>
      <w:r>
        <w:rPr>
          <w:rFonts w:ascii="宋体" w:hAnsi="宋体" w:cs="Times New Roman" w:hint="eastAsia"/>
          <w:color w:val="000000"/>
          <w:kern w:val="2"/>
          <w:szCs w:val="32"/>
        </w:rPr>
        <w:t xml:space="preserve">  市、县级人民政府负责本行政</w:t>
      </w:r>
      <w:r>
        <w:rPr>
          <w:rFonts w:ascii="宋体" w:hAnsi="宋体" w:cs="仿宋_GB2312" w:hint="eastAsia"/>
          <w:color w:val="000000"/>
          <w:kern w:val="2"/>
          <w:szCs w:val="32"/>
        </w:rPr>
        <w:t>区域内客家围龙屋的保护工作，将客家围龙屋保护纳入本级国民经济和社会发展规划，建立客家围龙屋保护工作责任制和联动工作机制，统筹做好城乡建设发展中客家围龙屋保护工作。</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 w:hint="eastAsia"/>
          <w:color w:val="000000"/>
          <w:kern w:val="2"/>
          <w:szCs w:val="32"/>
        </w:rPr>
      </w:pPr>
      <w:r>
        <w:rPr>
          <w:rFonts w:ascii="宋体" w:hAnsi="宋体" w:cs="仿宋_GB2312" w:hint="eastAsia"/>
          <w:color w:val="000000"/>
          <w:kern w:val="2"/>
          <w:szCs w:val="32"/>
        </w:rPr>
        <w:t>市、县级人民政府文物主管部门会同住房城乡建设、自然资源主管部门做好客家围龙屋的调查认定、规划编制、监督管理等工作。</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 w:hint="eastAsia"/>
          <w:color w:val="000000"/>
          <w:kern w:val="2"/>
          <w:szCs w:val="32"/>
        </w:rPr>
      </w:pPr>
      <w:r>
        <w:rPr>
          <w:rFonts w:ascii="宋体" w:hAnsi="宋体" w:cs="仿宋_GB2312" w:hint="eastAsia"/>
          <w:color w:val="000000"/>
          <w:kern w:val="2"/>
          <w:szCs w:val="32"/>
        </w:rPr>
        <w:t>应急管理及消防救援机构，公安机关、发展改革、财政、城市综合执法、生态环境、教育、旅游、农业农村、林业、水务、交通运输、市场监督管理、工业和信息化等主管部门按照各自的职责，做好客家围龙屋保护的相关工作。</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黑体" w:hAnsi="黑体" w:cs="黑体" w:hint="eastAsia" w:eastAsia="黑体"/>
          <w:color w:val="000000"/>
          <w:kern w:val="2"/>
          <w:szCs w:val="32"/>
        </w:rPr>
        <w:t>第五条</w:t>
      </w:r>
      <w:r>
        <w:rPr>
          <w:rFonts w:ascii="宋体" w:hAnsi="宋体" w:cs="仿宋_GB2312" w:hint="eastAsia"/>
          <w:color w:val="000000"/>
          <w:kern w:val="2"/>
          <w:szCs w:val="32"/>
        </w:rPr>
        <w:t xml:space="preserve">  镇人民政府、街道办事处负责本辖区内客家围龙屋的保护工作，完善客家围龙屋保护配套设施，依法制止违反客家围龙屋保护规定的行为，指导、支持村民委员会或者居民委员会开展相应的客家围龙屋保护工作。</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黑体" w:hAnsi="黑体" w:cs="黑体" w:hint="eastAsia" w:eastAsia="黑体"/>
          <w:color w:val="000000"/>
          <w:kern w:val="2"/>
          <w:szCs w:val="32"/>
        </w:rPr>
        <w:t>第六条</w:t>
      </w:r>
      <w:r>
        <w:rPr>
          <w:rFonts w:ascii="宋体" w:hAnsi="宋体" w:cs="仿宋_GB2312" w:hint="eastAsia"/>
          <w:color w:val="000000"/>
          <w:kern w:val="2"/>
          <w:szCs w:val="32"/>
        </w:rPr>
        <w:t xml:space="preserve">  客家围龙屋所在地村民委员会、居民委员会指导、督促村民、居民按照保护的要求合理使用客家围龙屋，配合做好客家围龙屋保护的宣传工作，协助开展客家围龙屋的火灾预防和扑救，劝阻、报告违反客家围龙屋保护规定的行为。提倡和鼓励村民委员会、居民委员会组织村民、居民制定保护客家围龙屋的村规民约、居民公约。</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黑体" w:hAnsi="黑体" w:cs="黑体" w:hint="eastAsia" w:eastAsia="黑体"/>
          <w:color w:val="000000"/>
          <w:kern w:val="2"/>
          <w:szCs w:val="32"/>
        </w:rPr>
        <w:t>第七条</w:t>
      </w:r>
      <w:r>
        <w:rPr>
          <w:rFonts w:ascii="宋体" w:hAnsi="宋体" w:cs="仿宋_GB2312" w:hint="eastAsia"/>
          <w:color w:val="000000"/>
          <w:kern w:val="2"/>
          <w:szCs w:val="32"/>
        </w:rPr>
        <w:t xml:space="preserve">  客家围龙屋所有权人、使用权人和管理人应当加强客家围龙屋的日常维护、修缮和保养。</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黑体" w:hAnsi="黑体" w:cs="黑体" w:hint="eastAsia" w:eastAsia="黑体"/>
          <w:color w:val="000000"/>
          <w:kern w:val="2"/>
          <w:szCs w:val="32"/>
        </w:rPr>
        <w:t>第八条</w:t>
      </w:r>
      <w:r>
        <w:rPr>
          <w:rFonts w:ascii="宋体" w:hAnsi="宋体" w:cs="仿宋_GB2312" w:hint="eastAsia"/>
          <w:color w:val="000000"/>
          <w:kern w:val="2"/>
          <w:szCs w:val="32"/>
        </w:rPr>
        <w:t xml:space="preserve">  市人民政府成立客家围龙屋保护专家委员会，负责客家围龙屋保护的咨询、指导、评审相关工作。客家围龙屋保护专家委员会由文化、文物、规划、房产、建筑、历史、土地、社会、经济和法律等领域专家组成，日常工作由市人民政府文物主管部门负责。</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黑体" w:hAnsi="黑体" w:cs="黑体" w:hint="eastAsia" w:eastAsia="黑体"/>
          <w:color w:val="000000"/>
          <w:kern w:val="2"/>
          <w:szCs w:val="32"/>
        </w:rPr>
        <w:t>第九条</w:t>
      </w:r>
      <w:r>
        <w:rPr>
          <w:rFonts w:ascii="宋体" w:hAnsi="宋体" w:cs="仿宋_GB2312" w:hint="eastAsia"/>
          <w:color w:val="000000"/>
          <w:kern w:val="2"/>
          <w:szCs w:val="32"/>
        </w:rPr>
        <w:t xml:space="preserve">  本市各级人民政府应当加强客家围龙屋保护的研究、宣传、教育工作，通过组织开展客家优秀传统文化研究、出版物编印、培训、展览、媒体宣传等活动，弘扬客家优秀传统文化，提高全社会保护客家围龙屋的意识。</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黑体" w:hAnsi="黑体" w:cs="黑体" w:hint="eastAsia" w:eastAsia="黑体"/>
          <w:color w:val="000000"/>
          <w:kern w:val="2"/>
          <w:szCs w:val="32"/>
        </w:rPr>
        <w:t>第十条</w:t>
      </w:r>
      <w:r>
        <w:rPr>
          <w:rFonts w:ascii="宋体" w:hAnsi="宋体" w:cs="仿宋_GB2312" w:hint="eastAsia"/>
          <w:color w:val="000000"/>
          <w:kern w:val="2"/>
          <w:szCs w:val="32"/>
        </w:rPr>
        <w:t xml:space="preserve">  鼓励单位和个人参与客家围龙屋的保护利用工作，鼓励建立客家围龙屋民间保护组织。</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宋体" w:hAnsi="宋体" w:cs="仿宋_GB2312" w:hint="eastAsia"/>
          <w:color w:val="000000"/>
          <w:kern w:val="2"/>
          <w:szCs w:val="32"/>
        </w:rPr>
        <w:t>任何单位和个人有权举报破坏客家围龙屋的行为。</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宋体" w:hAnsi="宋体" w:cs="仿宋_GB2312" w:hint="eastAsia"/>
          <w:color w:val="000000"/>
          <w:kern w:val="2"/>
          <w:szCs w:val="32"/>
        </w:rPr>
        <w:t>市、县级人民政府对在客家围龙屋保护工作中做出显著成绩的单位和个人给予表彰和奖励。</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cs="Times New Roman" w:ascii="宋体" w:hAnsi="宋体"/>
          <w:color w:val="000000"/>
          <w:kern w:val="2"/>
          <w:szCs w:val="32"/>
        </w:rPr>
      </w:r>
    </w:p>
    <w:p>
      <w:pPr>
        <w:pStyle w:val="Normal"/>
        <w:keepNext w:val="false"/>
        <w:keepLines w:val="false"/>
        <w:pageBreakBefore w:val="false"/>
        <w:kinsoku w:val="true"/>
        <w:overflowPunct w:val="true"/>
        <w:autoSpaceDE w:val="true"/>
        <w:bidi w:val="0"/>
        <w:spacing w:lineRule="exact" w:line="590"/>
        <w:ind w:firstLineChars="200" w:startChars="0" w:start="0" w:endChars="0" w:end="0"/>
        <w:jc w:val="center"/>
        <w:textAlignment w:val="auto"/>
        <w:rPr>
          <w:rFonts w:ascii="宋体" w:hAnsi="宋体" w:cs="仿宋_GB2312" w:hint="eastAsia"/>
          <w:color w:val="000000"/>
          <w:kern w:val="2"/>
          <w:szCs w:val="32"/>
        </w:rPr>
      </w:pPr>
      <w:r>
        <w:rPr>
          <w:rFonts w:ascii="黑体" w:hAnsi="黑体" w:cs="黑体" w:hint="eastAsia" w:eastAsia="黑体"/>
          <w:color w:val="000000"/>
          <w:kern w:val="2"/>
          <w:szCs w:val="32"/>
        </w:rPr>
        <w:t>第二章  保护名录和保护规划</w:t>
      </w:r>
    </w:p>
    <w:p>
      <w:pPr>
        <w:pStyle w:val="Normal"/>
        <w:keepNext w:val="false"/>
        <w:keepLines w:val="false"/>
        <w:pageBreakBefore w:val="false"/>
        <w:kinsoku w:val="true"/>
        <w:overflowPunct w:val="true"/>
        <w:autoSpaceDE w:val="true"/>
        <w:bidi w:val="0"/>
        <w:spacing w:lineRule="exact" w:line="590"/>
        <w:jc w:val="center"/>
        <w:textAlignment w:val="auto"/>
        <w:rPr>
          <w:rFonts w:ascii="宋体" w:hAnsi="宋体" w:eastAsia="黑体" w:cs="Times New Roman" w:hint="eastAsia"/>
          <w:color w:val="000000"/>
          <w:kern w:val="2"/>
          <w:szCs w:val="32"/>
        </w:rPr>
      </w:pPr>
      <w:r>
        <w:rPr>
          <w:rFonts w:eastAsia="黑体" w:cs="Times New Roman" w:hint="eastAsia" w:ascii="宋体" w:hAnsi="宋体"/>
          <w:color w:val="000000"/>
          <w:kern w:val="2"/>
          <w:szCs w:val="32"/>
        </w:rPr>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
          <w:color w:val="000000"/>
          <w:kern w:val="2"/>
          <w:szCs w:val="32"/>
        </w:rPr>
      </w:pPr>
      <w:r>
        <w:rPr>
          <w:rFonts w:ascii="黑体" w:hAnsi="黑体" w:cs="黑体" w:hint="eastAsia" w:eastAsia="黑体"/>
          <w:color w:val="000000"/>
          <w:kern w:val="2"/>
          <w:szCs w:val="32"/>
        </w:rPr>
        <w:t>第十一条</w:t>
      </w:r>
      <w:r>
        <w:rPr>
          <w:rFonts w:ascii="宋体" w:hAnsi="宋体" w:cs="仿宋_GB2312" w:hint="eastAsia"/>
          <w:color w:val="000000"/>
          <w:kern w:val="2"/>
          <w:szCs w:val="32"/>
        </w:rPr>
        <w:t xml:space="preserve">  市人民政府应当建立客家围龙屋保护名录，将客家围龙屋分为以下三个类别按程序确定后列入保护名录：</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宋体" w:hAnsi="宋体" w:cs="仿宋_GB2312" w:hint="eastAsia"/>
          <w:color w:val="000000"/>
          <w:kern w:val="2"/>
          <w:szCs w:val="32"/>
        </w:rPr>
        <w:t>（一）第一类客家围龙屋：已公布为不可移动文物的客家围龙屋，包括已核定公布为各级文物保护单位的客家围龙屋和尚未核定公布为文物保护单位的不可移动文物的客家围龙屋；</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宋体" w:hAnsi="宋体" w:cs="仿宋_GB2312" w:hint="eastAsia"/>
          <w:color w:val="000000"/>
          <w:kern w:val="2"/>
          <w:szCs w:val="32"/>
        </w:rPr>
        <w:t>（二）第二类客家围龙屋：已确定公布为历史建筑的客家围龙屋；</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宋体" w:hAnsi="宋体" w:cs="仿宋_GB2312" w:hint="eastAsia"/>
          <w:color w:val="000000"/>
          <w:kern w:val="2"/>
          <w:szCs w:val="32"/>
        </w:rPr>
        <w:t>（三）第三类客家围龙屋：除第一类客家围龙屋和第二类客家围龙屋外，历史、艺术、科学、文化和社会价值较高的客家围龙屋。</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
          <w:color w:val="000000"/>
          <w:kern w:val="2"/>
          <w:szCs w:val="32"/>
        </w:rPr>
      </w:pPr>
      <w:r>
        <w:rPr>
          <w:rFonts w:ascii="黑体" w:hAnsi="黑体" w:cs="黑体" w:hint="eastAsia" w:eastAsia="黑体"/>
          <w:color w:val="000000"/>
          <w:kern w:val="2"/>
          <w:szCs w:val="32"/>
        </w:rPr>
        <w:t>第十二条</w:t>
      </w:r>
      <w:r>
        <w:rPr>
          <w:rFonts w:ascii="宋体" w:hAnsi="宋体" w:cs="仿宋_GB2312" w:hint="eastAsia"/>
          <w:color w:val="000000"/>
          <w:kern w:val="2"/>
          <w:szCs w:val="32"/>
        </w:rPr>
        <w:t xml:space="preserve">  除第一类客家围龙屋外，建成六十年以上且符合以下情形之一的客家围龙屋，可以由市、县（县级市）人民政府确定为历史建筑，纳入第二类客家围龙屋保护：</w:t>
      </w:r>
    </w:p>
    <w:p>
      <w:pPr>
        <w:pStyle w:val="Normal"/>
        <w:keepNext w:val="false"/>
        <w:keepLines w:val="false"/>
        <w:pageBreakBefore w:val="false"/>
        <w:kinsoku w:val="true"/>
        <w:overflowPunct w:val="true"/>
        <w:autoSpaceDE w:val="true"/>
        <w:bidi w:val="0"/>
        <w:spacing w:lineRule="exact" w:line="590"/>
        <w:ind w:firstLine="640" w:end="0"/>
        <w:textAlignment w:val="auto"/>
        <w:rPr>
          <w:rFonts w:ascii="宋体" w:hAnsi="宋体" w:cs="Times New Roman"/>
          <w:color w:val="000000"/>
          <w:kern w:val="2"/>
          <w:szCs w:val="32"/>
        </w:rPr>
      </w:pPr>
      <w:r>
        <w:rPr>
          <w:rFonts w:ascii="宋体" w:hAnsi="宋体" w:cs="仿宋_GB2312" w:hint="eastAsia"/>
          <w:color w:val="000000"/>
          <w:kern w:val="2"/>
          <w:szCs w:val="32"/>
        </w:rPr>
        <w:t>（一）建筑样式、施工工艺和工程技术具有建筑艺术特色和科学研究价值，建筑形制完整，现状保存较好；</w:t>
      </w:r>
    </w:p>
    <w:p>
      <w:pPr>
        <w:pStyle w:val="Normal"/>
        <w:keepNext w:val="false"/>
        <w:keepLines w:val="false"/>
        <w:pageBreakBefore w:val="false"/>
        <w:kinsoku w:val="true"/>
        <w:overflowPunct w:val="true"/>
        <w:autoSpaceDE w:val="true"/>
        <w:bidi w:val="0"/>
        <w:spacing w:lineRule="exact" w:line="590"/>
        <w:ind w:firstLine="640" w:end="0"/>
        <w:textAlignment w:val="auto"/>
        <w:rPr>
          <w:rFonts w:ascii="宋体" w:hAnsi="宋体" w:cs="Times New Roman"/>
          <w:color w:val="000000"/>
          <w:kern w:val="2"/>
          <w:szCs w:val="32"/>
        </w:rPr>
      </w:pPr>
      <w:r>
        <w:rPr>
          <w:rFonts w:ascii="宋体" w:hAnsi="宋体" w:cs="仿宋_GB2312" w:hint="eastAsia"/>
          <w:color w:val="000000"/>
          <w:kern w:val="2"/>
          <w:szCs w:val="32"/>
        </w:rPr>
        <w:t>（二）著名人物居住、活动或者重大历史事件发生地并有条件恢复原貌的；</w:t>
      </w:r>
    </w:p>
    <w:p>
      <w:pPr>
        <w:pStyle w:val="Normal"/>
        <w:keepNext w:val="false"/>
        <w:keepLines w:val="false"/>
        <w:pageBreakBefore w:val="false"/>
        <w:kinsoku w:val="true"/>
        <w:overflowPunct w:val="true"/>
        <w:autoSpaceDE w:val="true"/>
        <w:bidi w:val="0"/>
        <w:spacing w:lineRule="exact" w:line="590"/>
        <w:ind w:firstLine="640" w:end="0"/>
        <w:textAlignment w:val="auto"/>
        <w:rPr>
          <w:rFonts w:ascii="宋体" w:hAnsi="宋体" w:cs="Times New Roman"/>
          <w:color w:val="000000"/>
          <w:kern w:val="2"/>
          <w:szCs w:val="32"/>
        </w:rPr>
      </w:pPr>
      <w:r>
        <w:rPr>
          <w:rFonts w:ascii="宋体" w:hAnsi="宋体" w:cs="仿宋_GB2312" w:hint="eastAsia"/>
          <w:color w:val="000000"/>
          <w:kern w:val="2"/>
          <w:szCs w:val="32"/>
        </w:rPr>
        <w:t>（三）位于文物保护单位周边，格局基本完整，作为与文物本体相关的环境要素的，或者与传统建筑（群落）连续成片的；</w:t>
      </w:r>
    </w:p>
    <w:p>
      <w:pPr>
        <w:pStyle w:val="Normal"/>
        <w:keepNext w:val="false"/>
        <w:keepLines w:val="false"/>
        <w:pageBreakBefore w:val="false"/>
        <w:kinsoku w:val="true"/>
        <w:overflowPunct w:val="true"/>
        <w:autoSpaceDE w:val="true"/>
        <w:bidi w:val="0"/>
        <w:spacing w:lineRule="exact" w:line="590"/>
        <w:ind w:firstLine="640" w:end="0"/>
        <w:textAlignment w:val="auto"/>
        <w:rPr>
          <w:rFonts w:ascii="宋体" w:hAnsi="宋体" w:cs="Times New Roman"/>
          <w:color w:val="000000"/>
          <w:kern w:val="2"/>
          <w:szCs w:val="32"/>
        </w:rPr>
      </w:pPr>
      <w:r>
        <w:rPr>
          <w:rFonts w:ascii="宋体" w:hAnsi="宋体" w:cs="仿宋_GB2312" w:hint="eastAsia"/>
          <w:color w:val="000000"/>
          <w:kern w:val="2"/>
          <w:szCs w:val="32"/>
        </w:rPr>
        <w:t>（四）与非物质文化遗产保护和传承直接相关的客家围龙屋。</w:t>
      </w:r>
    </w:p>
    <w:p>
      <w:pPr>
        <w:pStyle w:val="Normal"/>
        <w:keepNext w:val="false"/>
        <w:keepLines w:val="false"/>
        <w:pageBreakBefore w:val="false"/>
        <w:kinsoku w:val="true"/>
        <w:overflowPunct w:val="true"/>
        <w:autoSpaceDE w:val="true"/>
        <w:bidi w:val="0"/>
        <w:spacing w:lineRule="exact" w:line="590"/>
        <w:ind w:firstLine="640" w:end="0"/>
        <w:textAlignment w:val="auto"/>
        <w:rPr>
          <w:rFonts w:ascii="宋体" w:hAnsi="宋体" w:cs="仿宋_GB2312"/>
          <w:color w:val="000000"/>
          <w:kern w:val="2"/>
          <w:szCs w:val="32"/>
        </w:rPr>
      </w:pPr>
      <w:r>
        <w:rPr>
          <w:rFonts w:ascii="宋体" w:hAnsi="宋体" w:cs="仿宋_GB2312" w:hint="eastAsia"/>
          <w:color w:val="000000"/>
          <w:kern w:val="2"/>
          <w:szCs w:val="32"/>
        </w:rPr>
        <w:t>对于建成不足六十年的特别有价值的客家围龙屋，符合前款规定情形之一的，也可以由市、县（县级市）人民政府确定为历史建筑，纳入第二类客家围龙屋保护。</w:t>
      </w:r>
    </w:p>
    <w:p>
      <w:pPr>
        <w:pStyle w:val="Normal"/>
        <w:keepNext w:val="false"/>
        <w:keepLines w:val="false"/>
        <w:pageBreakBefore w:val="false"/>
        <w:kinsoku w:val="true"/>
        <w:overflowPunct w:val="true"/>
        <w:autoSpaceDE w:val="true"/>
        <w:bidi w:val="0"/>
        <w:spacing w:lineRule="exact" w:line="590"/>
        <w:ind w:firstLine="640" w:end="0"/>
        <w:textAlignment w:val="auto"/>
        <w:rPr>
          <w:rFonts w:ascii="宋体" w:hAnsi="宋体" w:cs="仿宋_GB2312" w:hint="eastAsia"/>
          <w:color w:val="000000"/>
          <w:kern w:val="2"/>
          <w:szCs w:val="32"/>
        </w:rPr>
      </w:pPr>
      <w:r>
        <w:rPr>
          <w:rFonts w:ascii="宋体" w:hAnsi="宋体" w:cs="仿宋_GB2312" w:hint="eastAsia"/>
          <w:color w:val="000000"/>
          <w:kern w:val="2"/>
          <w:szCs w:val="32"/>
        </w:rPr>
        <w:t>在确定为历史建筑之前，市、县（县级市）人民政府住房城乡建设主管部门应当会同同级文物主管部门征求公众和客家围龙屋所有权人、使用权人、管理人的意见，并组织专家论证。</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
          <w:color w:val="000000"/>
          <w:kern w:val="2"/>
          <w:szCs w:val="32"/>
        </w:rPr>
      </w:pPr>
      <w:r>
        <w:rPr>
          <w:rFonts w:ascii="黑体" w:hAnsi="黑体" w:cs="黑体" w:hint="eastAsia" w:eastAsia="黑体"/>
          <w:color w:val="000000"/>
          <w:kern w:val="0"/>
          <w:szCs w:val="32"/>
        </w:rPr>
        <w:t>第十三条</w:t>
      </w:r>
      <w:r>
        <w:rPr>
          <w:rFonts w:ascii="宋体" w:hAnsi="宋体" w:cs="仿宋_GB2312" w:hint="eastAsia"/>
          <w:color w:val="000000"/>
          <w:kern w:val="2"/>
          <w:szCs w:val="32"/>
        </w:rPr>
        <w:t xml:space="preserve">  除第一类客家围龙屋和第二类客家围龙屋外，其他客家围龙屋符合以下情形之一，并经所在地县级人民政府住房城乡建设主管部门会同同级文物主管部门组织专家论证后，可以由客家围龙屋所在地县级人民政府确定为第三类客家围龙屋：</w:t>
      </w:r>
    </w:p>
    <w:p>
      <w:pPr>
        <w:pStyle w:val="Normal"/>
        <w:keepNext w:val="false"/>
        <w:keepLines w:val="false"/>
        <w:pageBreakBefore w:val="false"/>
        <w:kinsoku w:val="true"/>
        <w:overflowPunct w:val="true"/>
        <w:autoSpaceDE w:val="true"/>
        <w:bidi w:val="0"/>
        <w:spacing w:lineRule="exact" w:line="590"/>
        <w:ind w:firstLine="640" w:end="0"/>
        <w:textAlignment w:val="auto"/>
        <w:rPr>
          <w:rFonts w:ascii="宋体" w:hAnsi="宋体" w:cs="Times New Roman"/>
          <w:color w:val="000000"/>
          <w:kern w:val="2"/>
          <w:szCs w:val="32"/>
        </w:rPr>
      </w:pPr>
      <w:r>
        <w:rPr>
          <w:rFonts w:ascii="宋体" w:hAnsi="宋体" w:cs="仿宋_GB2312" w:hint="eastAsia"/>
          <w:color w:val="000000"/>
          <w:kern w:val="2"/>
          <w:szCs w:val="32"/>
        </w:rPr>
        <w:t>（一）具有比较鲜明的地方特点，现状保存较好，整体建筑完好程度在百分之七十以上，具有可供研究欣赏的各种雕刻、装修、楹联、彩画；</w:t>
      </w:r>
    </w:p>
    <w:p>
      <w:pPr>
        <w:pStyle w:val="Normal"/>
        <w:keepNext w:val="false"/>
        <w:keepLines w:val="false"/>
        <w:pageBreakBefore w:val="false"/>
        <w:kinsoku w:val="true"/>
        <w:overflowPunct w:val="true"/>
        <w:autoSpaceDE w:val="true"/>
        <w:bidi w:val="0"/>
        <w:spacing w:lineRule="exact" w:line="590"/>
        <w:ind w:firstLine="640" w:end="0"/>
        <w:textAlignment w:val="auto"/>
        <w:rPr>
          <w:rFonts w:ascii="宋体" w:hAnsi="宋体" w:cs="仿宋_GB2312"/>
          <w:color w:val="000000"/>
          <w:kern w:val="2"/>
          <w:szCs w:val="32"/>
        </w:rPr>
      </w:pPr>
      <w:r>
        <w:rPr>
          <w:rFonts w:ascii="宋体" w:hAnsi="宋体" w:cs="仿宋_GB2312" w:hint="eastAsia"/>
          <w:color w:val="000000"/>
          <w:kern w:val="2"/>
          <w:szCs w:val="32"/>
        </w:rPr>
        <w:t>（二）与其他客家历史文化有关的价值较高的客家围龙屋。</w:t>
      </w:r>
    </w:p>
    <w:p>
      <w:pPr>
        <w:pStyle w:val="Normal"/>
        <w:keepNext w:val="false"/>
        <w:keepLines w:val="false"/>
        <w:pageBreakBefore w:val="false"/>
        <w:kinsoku w:val="true"/>
        <w:overflowPunct w:val="true"/>
        <w:autoSpaceDE w:val="true"/>
        <w:bidi w:val="0"/>
        <w:spacing w:lineRule="exact" w:line="590"/>
        <w:ind w:firstLine="640" w:end="0"/>
        <w:textAlignment w:val="auto"/>
        <w:rPr>
          <w:rFonts w:ascii="宋体" w:hAnsi="宋体" w:cs="仿宋_GB2312" w:hint="eastAsia"/>
          <w:color w:val="000000"/>
          <w:kern w:val="2"/>
          <w:szCs w:val="32"/>
        </w:rPr>
      </w:pPr>
      <w:r>
        <w:rPr>
          <w:rFonts w:ascii="黑体" w:hAnsi="黑体" w:cs="黑体" w:hint="eastAsia" w:eastAsia="黑体"/>
          <w:bCs/>
          <w:color w:val="000000"/>
          <w:kern w:val="0"/>
          <w:szCs w:val="32"/>
        </w:rPr>
        <w:t>第十四条</w:t>
      </w:r>
      <w:r>
        <w:rPr>
          <w:rFonts w:ascii="宋体" w:hAnsi="宋体" w:cs="仿宋_GB2312" w:hint="eastAsia"/>
          <w:color w:val="000000"/>
          <w:kern w:val="2"/>
          <w:szCs w:val="32"/>
        </w:rPr>
        <w:t xml:space="preserve">  第一类和第二类客家围龙屋应当列入客家围龙屋保护名录，由市人民政府确定并向社会公布。</w:t>
      </w:r>
    </w:p>
    <w:p>
      <w:pPr>
        <w:pStyle w:val="Normal"/>
        <w:keepNext w:val="false"/>
        <w:keepLines w:val="false"/>
        <w:pageBreakBefore w:val="false"/>
        <w:kinsoku w:val="true"/>
        <w:overflowPunct w:val="true"/>
        <w:autoSpaceDE w:val="true"/>
        <w:bidi w:val="0"/>
        <w:spacing w:lineRule="exact" w:line="590"/>
        <w:ind w:firstLine="640" w:end="0"/>
        <w:textAlignment w:val="auto"/>
        <w:rPr>
          <w:rFonts w:ascii="宋体" w:hAnsi="宋体" w:cs="仿宋_GB2312"/>
          <w:color w:val="000000"/>
          <w:kern w:val="2"/>
          <w:szCs w:val="32"/>
        </w:rPr>
      </w:pPr>
      <w:r>
        <w:rPr>
          <w:rFonts w:ascii="宋体" w:hAnsi="宋体" w:cs="仿宋_GB2312" w:hint="eastAsia"/>
          <w:color w:val="000000"/>
          <w:kern w:val="2"/>
          <w:szCs w:val="32"/>
        </w:rPr>
        <w:t>第三类客家围龙屋申报列入客家围龙屋保护名录的，应当由专有部分面积占比三分之二以上的业主且人数占比三分之二以上的业主参与表决，并经参与表决专有部分面积过半数的业主且参与表决人数过半数的业主同意。在征求公众和客家围龙屋所在地村民委员会、居民委员会以及使用权人、管理人的意见后，由客家围龙屋所在地县级人民政府向市人民政府文物主管部门进行申报。</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黑体" w:hAnsi="黑体" w:cs="黑体" w:hint="eastAsia" w:eastAsia="黑体"/>
          <w:bCs/>
          <w:color w:val="000000"/>
          <w:kern w:val="0"/>
          <w:szCs w:val="32"/>
        </w:rPr>
        <w:t>第十五条</w:t>
      </w:r>
      <w:r>
        <w:rPr>
          <w:rFonts w:ascii="宋体" w:hAnsi="宋体" w:cs="仿宋_GB2312" w:hint="eastAsia"/>
          <w:color w:val="000000"/>
          <w:kern w:val="2"/>
          <w:szCs w:val="32"/>
        </w:rPr>
        <w:t xml:space="preserve">  客家围龙屋所有权人认为有保护价值的，或者其他单位和个人发现有保护价值的客家围龙屋，可以向有关部门提出确定客家围龙屋类别和列入保护名录的建议，并提供相关依据。</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黑体" w:hAnsi="黑体" w:cs="黑体" w:hint="eastAsia" w:eastAsia="黑体"/>
          <w:bCs/>
          <w:color w:val="000000"/>
          <w:kern w:val="0"/>
          <w:szCs w:val="32"/>
        </w:rPr>
        <w:t>第十六条</w:t>
      </w:r>
      <w:r>
        <w:rPr>
          <w:rFonts w:ascii="宋体" w:hAnsi="宋体" w:cs="仿宋_GB2312" w:hint="eastAsia"/>
          <w:color w:val="000000"/>
          <w:kern w:val="2"/>
          <w:szCs w:val="32"/>
        </w:rPr>
        <w:t xml:space="preserve">  市人民政府文物主管部门应当将县级人民政府申报列入保护名录的客家围龙屋提请客家围龙屋保护专家委员会进行历史、艺术、科学、文化和社会价值评估，并由客家围龙屋保护专家委员会提出推荐意见。</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
          <w:color w:val="000000"/>
          <w:kern w:val="2"/>
          <w:szCs w:val="32"/>
        </w:rPr>
      </w:pPr>
      <w:r>
        <w:rPr>
          <w:rFonts w:ascii="宋体" w:hAnsi="宋体" w:cs="仿宋_GB2312" w:hint="eastAsia"/>
          <w:color w:val="000000"/>
          <w:kern w:val="2"/>
          <w:szCs w:val="32"/>
        </w:rPr>
        <w:t>市人民政府文物主管部门会同住房城乡建设主管部门根据客家围龙屋保护专家委员会的推荐意见，拟定客家围龙屋保护名录，报市人民政府确定并向社会公布。</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宋体" w:hAnsi="宋体" w:cs="仿宋_GB2312" w:hint="eastAsia"/>
          <w:color w:val="000000"/>
          <w:kern w:val="2"/>
          <w:szCs w:val="32"/>
        </w:rPr>
        <w:t>保护名录应当明确保护对象的主体，载明名称、类别、所在位置、面积、建设年代和价值等内容，并附有明确的界址地形图。</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
          <w:color w:val="000000"/>
          <w:kern w:val="2"/>
          <w:szCs w:val="32"/>
        </w:rPr>
      </w:pPr>
      <w:r>
        <w:rPr>
          <w:rFonts w:ascii="宋体" w:hAnsi="宋体" w:cs="仿宋_GB2312" w:hint="eastAsia"/>
          <w:color w:val="000000"/>
          <w:kern w:val="2"/>
          <w:szCs w:val="32"/>
        </w:rPr>
        <w:t>市人民政府对列入保护名录的客家围龙屋，应当设置统一的保护标识。任何单位和个人不得擅自设置、移动、涂改或者损毁保护标识。</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
          <w:color w:val="000000"/>
          <w:kern w:val="2"/>
          <w:szCs w:val="32"/>
        </w:rPr>
      </w:pPr>
      <w:r>
        <w:rPr>
          <w:rFonts w:ascii="黑体" w:hAnsi="黑体" w:cs="黑体" w:hint="eastAsia" w:eastAsia="黑体"/>
          <w:bCs/>
          <w:color w:val="000000"/>
          <w:kern w:val="0"/>
          <w:szCs w:val="32"/>
        </w:rPr>
        <w:t>第十七条</w:t>
      </w:r>
      <w:r>
        <w:rPr>
          <w:rFonts w:ascii="宋体" w:hAnsi="宋体" w:cs="仿宋_GB2312" w:hint="eastAsia"/>
          <w:color w:val="000000"/>
          <w:kern w:val="2"/>
          <w:szCs w:val="32"/>
        </w:rPr>
        <w:t xml:space="preserve">  列入保护名录的客家围龙屋因损毁等原因，导致不符合认定条件的，按照原申报列入客家围龙屋保护名录的程序，报市人民政府确定并向社会公布后从保护名录中移除并摘除客家围龙屋保护标识。</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宋体" w:hAnsi="宋体" w:cs="仿宋_GB2312" w:hint="eastAsia"/>
          <w:color w:val="000000"/>
          <w:kern w:val="2"/>
          <w:szCs w:val="32"/>
        </w:rPr>
        <w:t>镇人民政府、街道办事处应当在本辖区内定期开展客家围龙屋普查，并将普查结果报送县级人民政府。普查内容包括客家围龙屋名称、所有权人、所在位置、面积、四至、建设年代、现状等。</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
          <w:color w:val="000000"/>
          <w:kern w:val="2"/>
          <w:szCs w:val="32"/>
        </w:rPr>
      </w:pPr>
      <w:r>
        <w:rPr>
          <w:rFonts w:ascii="宋体" w:hAnsi="宋体" w:cs="仿宋_GB2312" w:hint="eastAsia"/>
          <w:color w:val="000000"/>
          <w:kern w:val="2"/>
          <w:szCs w:val="32"/>
        </w:rPr>
        <w:t>县级人民政府应当建立客家围龙屋档案。市、县级人民政府文物主管部门应当建立客家围龙屋保护管理信息系统，对客家围龙屋保护管理信息实行动态管理。</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 w:hint="eastAsia"/>
          <w:color w:val="000000"/>
          <w:kern w:val="2"/>
          <w:szCs w:val="32"/>
        </w:rPr>
      </w:pPr>
      <w:r>
        <w:rPr>
          <w:rFonts w:ascii="黑体" w:hAnsi="黑体" w:cs="黑体" w:hint="eastAsia" w:eastAsia="黑体"/>
          <w:bCs/>
          <w:color w:val="000000"/>
          <w:kern w:val="0"/>
          <w:szCs w:val="32"/>
        </w:rPr>
        <w:t>第十八条</w:t>
      </w:r>
      <w:r>
        <w:rPr>
          <w:rFonts w:ascii="宋体" w:hAnsi="宋体" w:cs="仿宋_GB2312" w:hint="eastAsia"/>
          <w:color w:val="000000"/>
          <w:kern w:val="2"/>
          <w:szCs w:val="32"/>
        </w:rPr>
        <w:t xml:space="preserve">  列入保护名录的客家围龙屋，由县级人民政府文物主管部门会同住房城乡建设、自然资源主管部门组织编制客家围龙屋保护规划，经征求专家和公众意见后，报本级人民政府批准并向社会公布。未设置自然资源主管部门的市辖区，由市人民政府文物主管部门会同住房城乡建设、自然资源主管部门编制客家围龙屋保护规划，经征求专家和公众意见后，报市人民政府批准并向社会公布。</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 w:hint="eastAsia"/>
          <w:color w:val="000000"/>
          <w:kern w:val="2"/>
          <w:szCs w:val="32"/>
        </w:rPr>
      </w:pPr>
      <w:r>
        <w:rPr>
          <w:rFonts w:ascii="宋体" w:hAnsi="宋体" w:cs="仿宋_GB2312" w:hint="eastAsia"/>
          <w:color w:val="000000"/>
          <w:kern w:val="2"/>
          <w:szCs w:val="32"/>
        </w:rPr>
        <w:t>客家围龙屋保护规划应当与国土空间规划、历史文化名城名镇名村保护规划、传统村落保护发展规划、区域旅游发展规划等相衔接。</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黑体" w:hAnsi="黑体" w:cs="黑体" w:hint="eastAsia" w:eastAsia="黑体"/>
          <w:bCs/>
          <w:color w:val="000000"/>
          <w:kern w:val="0"/>
          <w:szCs w:val="32"/>
        </w:rPr>
        <w:t>第十九条</w:t>
      </w:r>
      <w:r>
        <w:rPr>
          <w:rFonts w:ascii="宋体" w:hAnsi="宋体" w:cs="黑体" w:hint="eastAsia" w:eastAsia="黑体"/>
          <w:color w:val="000000"/>
          <w:kern w:val="2"/>
          <w:szCs w:val="32"/>
        </w:rPr>
        <w:t xml:space="preserve">  </w:t>
      </w:r>
      <w:r>
        <w:rPr>
          <w:rFonts w:ascii="宋体" w:hAnsi="宋体" w:cs="仿宋_GB2312" w:hint="eastAsia"/>
          <w:color w:val="000000"/>
          <w:kern w:val="2"/>
          <w:szCs w:val="32"/>
        </w:rPr>
        <w:t>客家围龙屋保护规划应当包括下列内容：</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宋体" w:hAnsi="宋体" w:cs="仿宋_GB2312" w:hint="eastAsia"/>
          <w:color w:val="000000"/>
          <w:kern w:val="2"/>
          <w:szCs w:val="32"/>
        </w:rPr>
        <w:t>（一）保护原则、保护内容、保护要求；</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宋体" w:hAnsi="宋体" w:cs="仿宋_GB2312" w:hint="eastAsia"/>
          <w:color w:val="000000"/>
          <w:kern w:val="2"/>
          <w:szCs w:val="32"/>
        </w:rPr>
        <w:t>（二）客家围龙屋及其周边环境现状以及存在的问题；</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宋体" w:hAnsi="宋体" w:cs="仿宋_GB2312" w:hint="eastAsia"/>
          <w:color w:val="000000"/>
          <w:kern w:val="2"/>
          <w:szCs w:val="32"/>
        </w:rPr>
        <w:t>（三）客家围龙屋的保护范围、建设控制地带及保护措施；</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宋体" w:hAnsi="宋体" w:cs="仿宋_GB2312" w:hint="eastAsia"/>
          <w:color w:val="000000"/>
          <w:kern w:val="2"/>
          <w:szCs w:val="32"/>
        </w:rPr>
        <w:t>（四）改善基础设施、公共服务设施、居住环境的方案；</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宋体" w:hAnsi="宋体" w:cs="仿宋_GB2312" w:hint="eastAsia"/>
          <w:color w:val="000000"/>
          <w:kern w:val="2"/>
          <w:szCs w:val="32"/>
        </w:rPr>
        <w:t>（五）客家围龙屋资源保护利用的内容；</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宋体" w:hAnsi="宋体" w:cs="仿宋_GB2312" w:hint="eastAsia"/>
          <w:color w:val="000000"/>
          <w:kern w:val="2"/>
          <w:szCs w:val="32"/>
        </w:rPr>
        <w:t>（六）保护规划实施方案。</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宋体" w:hAnsi="宋体" w:cs="仿宋_GB2312" w:hint="eastAsia"/>
          <w:color w:val="000000"/>
          <w:kern w:val="2"/>
          <w:szCs w:val="32"/>
        </w:rPr>
        <w:t>本条例所称保护范围是指客家围龙屋本体及周围一定范围实施重点保护的区域。建设控制地带是指客家围龙屋的保护范围外，为保护客家围龙屋的安全、环境、历史风貌对建设项目加以限制的区域。</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
          <w:color w:val="000000"/>
          <w:kern w:val="2"/>
          <w:szCs w:val="32"/>
        </w:rPr>
      </w:pPr>
      <w:r>
        <w:rPr>
          <w:rFonts w:ascii="宋体" w:hAnsi="宋体" w:cs="仿宋_GB2312" w:hint="eastAsia"/>
          <w:color w:val="000000"/>
          <w:kern w:val="2"/>
          <w:szCs w:val="32"/>
        </w:rPr>
        <w:t>县级人民政府文物主管部门会同自然资源、住房城乡建设主管部门，可以对列入保护名录的尚未核定公布为文物保护单位的不可移动文物的客家围龙屋和第三类客家围龙屋划定保护范围。市辖区内列入保护名录的尚未核定公布为文物保护单位的不可移动文物的客家围龙屋和第三类客家围龙屋，可以由市人民政府文物主管部门会同自然资源、住房城乡建设主管部门划定保护范围。</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
          <w:color w:val="000000"/>
          <w:kern w:val="2"/>
          <w:szCs w:val="32"/>
        </w:rPr>
      </w:pPr>
      <w:r>
        <w:rPr>
          <w:rFonts w:ascii="黑体" w:hAnsi="黑体" w:cs="黑体" w:hint="eastAsia" w:eastAsia="黑体"/>
          <w:bCs/>
          <w:color w:val="000000"/>
          <w:kern w:val="0"/>
          <w:szCs w:val="32"/>
        </w:rPr>
        <w:t>第二十条</w:t>
      </w:r>
      <w:r>
        <w:rPr>
          <w:rFonts w:ascii="宋体" w:hAnsi="宋体" w:cs="黑体" w:hint="eastAsia" w:eastAsia="黑体"/>
          <w:color w:val="000000"/>
          <w:kern w:val="2"/>
          <w:szCs w:val="32"/>
        </w:rPr>
        <w:t xml:space="preserve">  </w:t>
      </w:r>
      <w:r>
        <w:rPr>
          <w:rFonts w:ascii="宋体" w:hAnsi="宋体" w:cs="仿宋_GB2312" w:hint="eastAsia"/>
          <w:color w:val="000000"/>
          <w:kern w:val="2"/>
          <w:szCs w:val="32"/>
        </w:rPr>
        <w:t>市、县级人民政府应当加强对客家围龙屋保护规划实施情况的监督检查，并对客家围龙屋保护状况进行评估。</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cs="Times New Roman" w:ascii="宋体" w:hAnsi="宋体"/>
          <w:color w:val="000000"/>
          <w:kern w:val="2"/>
          <w:szCs w:val="32"/>
        </w:rPr>
      </w:r>
    </w:p>
    <w:p>
      <w:pPr>
        <w:pStyle w:val="Normal"/>
        <w:keepNext w:val="false"/>
        <w:keepLines w:val="false"/>
        <w:pageBreakBefore w:val="false"/>
        <w:kinsoku w:val="true"/>
        <w:overflowPunct w:val="true"/>
        <w:autoSpaceDE w:val="true"/>
        <w:bidi w:val="0"/>
        <w:spacing w:lineRule="exact" w:line="590"/>
        <w:ind w:firstLineChars="200" w:startChars="0" w:start="0" w:endChars="0" w:end="0"/>
        <w:jc w:val="center"/>
        <w:textAlignment w:val="auto"/>
        <w:rPr>
          <w:rFonts w:ascii="宋体" w:hAnsi="宋体" w:cs="仿宋_GB2312" w:hint="eastAsia"/>
          <w:color w:val="000000"/>
          <w:kern w:val="2"/>
          <w:szCs w:val="32"/>
        </w:rPr>
      </w:pPr>
      <w:r>
        <w:rPr>
          <w:rFonts w:ascii="黑体" w:hAnsi="黑体" w:cs="黑体" w:hint="eastAsia" w:eastAsia="黑体"/>
          <w:bCs/>
          <w:color w:val="000000"/>
          <w:kern w:val="0"/>
          <w:szCs w:val="32"/>
        </w:rPr>
        <w:t>第三章  保护和利用</w:t>
      </w:r>
    </w:p>
    <w:p>
      <w:pPr>
        <w:pStyle w:val="Normal"/>
        <w:keepNext w:val="false"/>
        <w:keepLines w:val="false"/>
        <w:pageBreakBefore w:val="false"/>
        <w:kinsoku w:val="true"/>
        <w:overflowPunct w:val="true"/>
        <w:autoSpaceDE w:val="true"/>
        <w:bidi w:val="0"/>
        <w:spacing w:lineRule="exact" w:line="590"/>
        <w:jc w:val="center"/>
        <w:textAlignment w:val="auto"/>
        <w:rPr>
          <w:rFonts w:ascii="宋体" w:hAnsi="宋体" w:eastAsia="黑体" w:cs="Times New Roman" w:hint="eastAsia"/>
          <w:color w:val="000000"/>
          <w:kern w:val="2"/>
          <w:szCs w:val="32"/>
        </w:rPr>
      </w:pPr>
      <w:r>
        <w:rPr>
          <w:rFonts w:eastAsia="黑体" w:cs="Times New Roman" w:hint="eastAsia" w:ascii="宋体" w:hAnsi="宋体"/>
          <w:color w:val="000000"/>
          <w:kern w:val="2"/>
          <w:szCs w:val="32"/>
        </w:rPr>
      </w:r>
    </w:p>
    <w:p>
      <w:pPr>
        <w:pStyle w:val="Normal"/>
        <w:keepNext w:val="false"/>
        <w:keepLines w:val="false"/>
        <w:pageBreakBefore w:val="false"/>
        <w:kinsoku w:val="true"/>
        <w:overflowPunct w:val="true"/>
        <w:autoSpaceDE w:val="true"/>
        <w:bidi w:val="0"/>
        <w:spacing w:lineRule="exact" w:line="590"/>
        <w:ind w:firstLineChars="200" w:startChars="0" w:start="0" w:endChars="0" w:end="0"/>
        <w:jc w:val="start"/>
        <w:textAlignment w:val="auto"/>
        <w:rPr>
          <w:rFonts w:ascii="宋体" w:hAnsi="宋体" w:cs="Times New Roman"/>
          <w:color w:val="000000"/>
          <w:kern w:val="2"/>
          <w:szCs w:val="32"/>
        </w:rPr>
      </w:pPr>
      <w:r>
        <w:rPr>
          <w:rFonts w:ascii="黑体" w:hAnsi="黑体" w:cs="黑体" w:hint="eastAsia" w:eastAsia="黑体"/>
          <w:bCs/>
          <w:color w:val="000000"/>
          <w:kern w:val="0"/>
          <w:szCs w:val="32"/>
        </w:rPr>
        <w:t>第二十一条</w:t>
      </w:r>
      <w:r>
        <w:rPr>
          <w:rFonts w:ascii="宋体" w:hAnsi="宋体" w:cs="黑体" w:hint="eastAsia" w:eastAsia="黑体"/>
          <w:color w:val="000000"/>
          <w:kern w:val="2"/>
          <w:szCs w:val="32"/>
        </w:rPr>
        <w:t xml:space="preserve">  </w:t>
      </w:r>
      <w:r>
        <w:rPr>
          <w:rFonts w:ascii="宋体" w:hAnsi="宋体" w:cs="仿宋_GB2312" w:hint="eastAsia"/>
          <w:color w:val="000000"/>
          <w:kern w:val="2"/>
          <w:szCs w:val="32"/>
        </w:rPr>
        <w:t>客家围龙屋保护利用应当与其历史、艺术、科学、文化和社会价值相适应，同时兼顾经济效益，实现保护、利用与传承相协调。</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
          <w:color w:val="000000"/>
          <w:kern w:val="2"/>
          <w:szCs w:val="32"/>
        </w:rPr>
      </w:pPr>
      <w:r>
        <w:rPr>
          <w:rFonts w:ascii="黑体" w:hAnsi="黑体" w:cs="黑体" w:hint="eastAsia" w:eastAsia="黑体"/>
          <w:bCs/>
          <w:color w:val="000000"/>
          <w:kern w:val="0"/>
          <w:szCs w:val="32"/>
        </w:rPr>
        <w:t>第二十二条</w:t>
      </w:r>
      <w:r>
        <w:rPr>
          <w:rFonts w:ascii="宋体" w:hAnsi="宋体" w:cs="黑体" w:hint="eastAsia" w:eastAsia="黑体"/>
          <w:color w:val="000000"/>
          <w:kern w:val="2"/>
          <w:szCs w:val="32"/>
        </w:rPr>
        <w:t xml:space="preserve">  </w:t>
      </w:r>
      <w:r>
        <w:rPr>
          <w:rFonts w:ascii="宋体" w:hAnsi="宋体" w:cs="仿宋_GB2312" w:hint="eastAsia"/>
          <w:color w:val="000000"/>
          <w:kern w:val="2"/>
          <w:szCs w:val="32"/>
        </w:rPr>
        <w:t>列入保护名录的客家围龙屋应当实施原址保护，任何单位或者个人不得损坏或者擅自迁移、拆除。列入保护名录的第三类客家围龙屋无法原址保护，必须迁移异地保护或者拆除的，应当事先征求市人民政府文物主管部门和住房城乡建设主管部门的意见。</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黑体" w:hAnsi="黑体" w:cs="黑体" w:hint="eastAsia" w:eastAsia="黑体"/>
          <w:bCs/>
          <w:color w:val="000000"/>
          <w:kern w:val="0"/>
          <w:szCs w:val="32"/>
        </w:rPr>
        <w:t>第二十三条</w:t>
      </w:r>
      <w:r>
        <w:rPr>
          <w:rFonts w:ascii="宋体" w:hAnsi="宋体" w:cs="黑体" w:hint="eastAsia" w:eastAsia="黑体"/>
          <w:color w:val="000000"/>
          <w:kern w:val="2"/>
          <w:szCs w:val="32"/>
        </w:rPr>
        <w:t xml:space="preserve">  </w:t>
      </w:r>
      <w:r>
        <w:rPr>
          <w:rFonts w:ascii="宋体" w:hAnsi="宋体" w:cs="仿宋_GB2312" w:hint="eastAsia"/>
          <w:color w:val="000000"/>
          <w:kern w:val="2"/>
          <w:szCs w:val="32"/>
        </w:rPr>
        <w:t>在客家围龙屋保护范围或者建设控制地带内，不得建设污染客家围龙屋及其环境的设施。</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 w:hint="eastAsia"/>
          <w:color w:val="000000"/>
          <w:kern w:val="2"/>
          <w:szCs w:val="32"/>
        </w:rPr>
      </w:pPr>
      <w:r>
        <w:rPr>
          <w:rFonts w:ascii="宋体" w:hAnsi="宋体" w:cs="仿宋_GB2312" w:hint="eastAsia"/>
          <w:color w:val="000000"/>
          <w:kern w:val="2"/>
          <w:szCs w:val="32"/>
        </w:rPr>
        <w:t>列入保护名录的尚未核定公布为文物保护单位的不可移动文物的客家围龙屋和第三类客家围龙屋保护范围内，因特殊情况需要进行建设工程或者爆破、钻探、挖掘等作业的，应当事先征求县级人民政府文物主管部门和住房城乡建设主管部门的意见，确保客家围龙屋的安全。</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 w:hint="eastAsia"/>
          <w:color w:val="000000"/>
          <w:kern w:val="2"/>
          <w:szCs w:val="32"/>
        </w:rPr>
      </w:pPr>
      <w:r>
        <w:rPr>
          <w:rFonts w:ascii="宋体" w:hAnsi="宋体" w:cs="仿宋_GB2312" w:hint="eastAsia"/>
          <w:color w:val="000000"/>
          <w:kern w:val="2"/>
          <w:szCs w:val="32"/>
        </w:rPr>
        <w:t>客家围龙屋保护范围内应当按照消防技术标准设置消防设施、消防通道。确因保护需要，无法按照标准和规范设置的，由市、县级人民政府消防救援机构会同自然资源、住房城乡建设主管部门制订相应的防火安全保障方案。</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黑体" w:hAnsi="黑体" w:cs="黑体" w:hint="eastAsia" w:eastAsia="黑体"/>
          <w:bCs/>
          <w:color w:val="000000"/>
          <w:kern w:val="0"/>
          <w:szCs w:val="32"/>
        </w:rPr>
        <w:t>第二十四条</w:t>
      </w:r>
      <w:r>
        <w:rPr>
          <w:rFonts w:ascii="宋体" w:hAnsi="宋体" w:cs="黑体" w:hint="eastAsia" w:eastAsia="黑体"/>
          <w:color w:val="000000"/>
          <w:kern w:val="2"/>
          <w:szCs w:val="32"/>
        </w:rPr>
        <w:t xml:space="preserve">  </w:t>
      </w:r>
      <w:r>
        <w:rPr>
          <w:rFonts w:ascii="宋体" w:hAnsi="宋体" w:cs="仿宋_GB2312" w:hint="eastAsia"/>
          <w:color w:val="000000"/>
          <w:kern w:val="2"/>
          <w:szCs w:val="32"/>
        </w:rPr>
        <w:t>县级人民政府文物主管部门可以与客家围龙屋所有权人或者使用权人、管理人通过依法签订保护责任书的方式，明确所有权人或者使用权人、管理人对客家围龙屋保护的权利义务。</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黑体" w:hAnsi="黑体" w:cs="黑体" w:hint="eastAsia" w:eastAsia="黑体"/>
          <w:bCs/>
          <w:color w:val="000000"/>
          <w:kern w:val="0"/>
          <w:szCs w:val="32"/>
        </w:rPr>
        <w:t>第二十五条</w:t>
      </w:r>
      <w:r>
        <w:rPr>
          <w:rFonts w:ascii="宋体" w:hAnsi="宋体" w:cs="仿宋_GB2312" w:hint="eastAsia"/>
          <w:color w:val="000000"/>
          <w:kern w:val="2"/>
          <w:szCs w:val="32"/>
        </w:rPr>
        <w:t xml:space="preserve"> </w:t>
      </w:r>
      <w:r>
        <w:rPr>
          <w:rFonts w:ascii="宋体" w:hAnsi="宋体" w:cs="黑体" w:hint="eastAsia" w:eastAsia="黑体"/>
          <w:color w:val="000000"/>
          <w:kern w:val="2"/>
          <w:szCs w:val="32"/>
        </w:rPr>
        <w:t xml:space="preserve"> </w:t>
      </w:r>
      <w:r>
        <w:rPr>
          <w:rFonts w:ascii="宋体" w:hAnsi="宋体" w:cs="仿宋_GB2312" w:hint="eastAsia"/>
          <w:color w:val="000000"/>
          <w:kern w:val="2"/>
          <w:szCs w:val="32"/>
        </w:rPr>
        <w:t>列入保护名录的非国有客家围龙屋由所有权人负责维护和修缮，所有权人、使用权人、管理人另有约定的，从其约定；所有权不明的，由县级人民政府负责。</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宋体" w:hAnsi="宋体" w:cs="仿宋_GB2312" w:hint="eastAsia"/>
          <w:color w:val="000000"/>
          <w:kern w:val="2"/>
          <w:szCs w:val="32"/>
        </w:rPr>
        <w:t>列入保护名录的客家围龙屋有损毁危险，所有权人不具备修缮能力的，当地人民政府应当给予帮助；具备修缮能力而拒不依法履行修缮义务的，市、县级人民政府可以进行抢救修缮，所需费用由所有权人承担。</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宋体" w:hAnsi="宋体" w:cs="仿宋_GB2312" w:hint="eastAsia"/>
          <w:color w:val="000000"/>
          <w:kern w:val="2"/>
          <w:szCs w:val="32"/>
        </w:rPr>
        <w:t>镇人民政府、街道办事处应当根据保护规划，将客家围龙屋的保护使用要求及权利义务书面告知所有权人或者使用权人、管理人。</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
          <w:color w:val="000000"/>
          <w:kern w:val="2"/>
          <w:szCs w:val="32"/>
        </w:rPr>
      </w:pPr>
      <w:r>
        <w:rPr>
          <w:rFonts w:ascii="宋体" w:hAnsi="宋体" w:cs="仿宋_GB2312" w:hint="eastAsia"/>
          <w:color w:val="000000"/>
          <w:kern w:val="2"/>
          <w:szCs w:val="32"/>
        </w:rPr>
        <w:t>所有权人可以通过推选的方式成立客家围龙屋管理小组，也可以委托物业服务企业或者其他管理人进行管理。客家围龙屋管理小组或者委托的物业服务企业和其他管理人应当加强对客家围龙屋的用电、用气、用火管理，保持环境清洁，定期巡查了解情况，并做好防盗工作。</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黑体" w:hAnsi="黑体" w:cs="黑体" w:hint="eastAsia" w:eastAsia="黑体"/>
          <w:bCs/>
          <w:color w:val="000000"/>
          <w:kern w:val="0"/>
          <w:szCs w:val="32"/>
        </w:rPr>
        <w:t>第二十六条</w:t>
      </w:r>
      <w:r>
        <w:rPr>
          <w:rFonts w:ascii="宋体" w:hAnsi="宋体" w:cs="黑体" w:hint="eastAsia" w:eastAsia="黑体"/>
          <w:color w:val="000000"/>
          <w:kern w:val="2"/>
          <w:szCs w:val="32"/>
        </w:rPr>
        <w:t xml:space="preserve">  </w:t>
      </w:r>
      <w:r>
        <w:rPr>
          <w:rFonts w:ascii="宋体" w:hAnsi="宋体" w:cs="仿宋_GB2312" w:hint="eastAsia"/>
          <w:color w:val="000000"/>
          <w:kern w:val="2"/>
          <w:szCs w:val="32"/>
        </w:rPr>
        <w:t>对列入保护名录的客家围龙屋进行维护修缮，除按照有关法律法规的规定履行批准手续外，应该符合消防安全技术标准要求，保持原有传统格局和历史风貌，并应当符合以下要求：</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宋体" w:hAnsi="宋体" w:cs="仿宋_GB2312" w:hint="eastAsia"/>
          <w:color w:val="000000"/>
          <w:kern w:val="2"/>
          <w:szCs w:val="32"/>
        </w:rPr>
        <w:t>（一）属于第一类客家围龙屋的，遵守修旧如故、不改变原状的原则，其中属于文物保护单位的，应当由依法取得相应文物保护工程资质证书的单位进行修缮；</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宋体" w:hAnsi="宋体" w:cs="仿宋_GB2312" w:hint="eastAsia"/>
          <w:color w:val="000000"/>
          <w:kern w:val="2"/>
          <w:szCs w:val="32"/>
        </w:rPr>
        <w:t>（二）属于第二类客家围龙屋的，在保持整体传统格局和历史风貌的基础上，不改变外立面、屋面等主体结构，可以对建筑内部进行适当的、可逆的改造；</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宋体" w:hAnsi="宋体" w:cs="仿宋_GB2312" w:hint="eastAsia"/>
          <w:color w:val="000000"/>
          <w:kern w:val="2"/>
          <w:szCs w:val="32"/>
        </w:rPr>
        <w:t>（三）属于第三类客家围龙屋的，可以兼顾适度利用进行基础设施改造，根据需要添加适合生活要求的必要设备和设施。</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宋体" w:hAnsi="宋体" w:cs="仿宋_GB2312" w:hint="eastAsia"/>
          <w:color w:val="000000"/>
          <w:kern w:val="2"/>
          <w:szCs w:val="32"/>
        </w:rPr>
        <w:t>本市各级人民政府根据需要培训古民居建筑工匠，积极培育和引进传统建筑保护专业人才，鼓励客家围龙屋传统修缮技艺的传承与创新。</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黑体" w:hAnsi="黑体" w:cs="黑体" w:hint="eastAsia" w:eastAsia="黑体"/>
          <w:bCs/>
          <w:color w:val="000000"/>
          <w:kern w:val="0"/>
          <w:szCs w:val="32"/>
        </w:rPr>
        <w:t>第二十七条</w:t>
      </w:r>
      <w:r>
        <w:rPr>
          <w:rFonts w:ascii="宋体" w:hAnsi="宋体" w:cs="黑体" w:hint="eastAsia" w:eastAsia="黑体"/>
          <w:color w:val="000000"/>
          <w:kern w:val="2"/>
          <w:szCs w:val="32"/>
        </w:rPr>
        <w:t xml:space="preserve">  </w:t>
      </w:r>
      <w:r>
        <w:rPr>
          <w:rFonts w:ascii="宋体" w:hAnsi="宋体" w:cs="仿宋_GB2312" w:hint="eastAsia"/>
          <w:color w:val="000000"/>
          <w:kern w:val="2"/>
          <w:szCs w:val="32"/>
        </w:rPr>
        <w:t>市、县级人民政府文物主管部门、住房城乡建设主管部门应当提供客家围龙屋保护和修缮方面的信息和技术指导，客家围龙屋所有权人或者使用权人、管理人进行维护修缮的，县级人民政府可以免费提供维护修缮施工方案编制服务，客家围龙屋所有权人也可以按照保护规划的要求自行依法委托符合资质要求的机构编制维护修缮施工方案，县级人民政府可以给予方案编制补助。</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
          <w:color w:val="000000"/>
          <w:kern w:val="2"/>
          <w:szCs w:val="32"/>
        </w:rPr>
      </w:pPr>
      <w:r>
        <w:rPr>
          <w:rFonts w:ascii="宋体" w:hAnsi="宋体" w:cs="仿宋_GB2312" w:hint="eastAsia"/>
          <w:color w:val="000000"/>
          <w:kern w:val="2"/>
          <w:szCs w:val="32"/>
        </w:rPr>
        <w:t>本市各级人民政府可以采取奖励或者补助的方式，支持列入保护名录的客家围龙屋的维护修缮。给予维护修缮补助的，相关人民政府应当与客家围龙屋所有权人或者使用权人、管理人约定双方权利义务。</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黑体" w:hAnsi="黑体" w:cs="黑体" w:hint="eastAsia" w:eastAsia="黑体"/>
          <w:bCs/>
          <w:color w:val="000000"/>
          <w:kern w:val="0"/>
          <w:szCs w:val="32"/>
        </w:rPr>
        <w:t>第二十八条</w:t>
      </w:r>
      <w:r>
        <w:rPr>
          <w:rFonts w:ascii="宋体" w:hAnsi="宋体" w:cs="黑体" w:hint="eastAsia" w:eastAsia="黑体"/>
          <w:color w:val="000000"/>
          <w:kern w:val="2"/>
          <w:szCs w:val="32"/>
        </w:rPr>
        <w:t xml:space="preserve">  </w:t>
      </w:r>
      <w:r>
        <w:rPr>
          <w:rFonts w:ascii="宋体" w:hAnsi="宋体" w:cs="仿宋_GB2312" w:hint="eastAsia"/>
          <w:color w:val="000000"/>
          <w:kern w:val="2"/>
          <w:szCs w:val="32"/>
        </w:rPr>
        <w:t>列入保护名录的客家围龙屋因保护利用等需要改变用途的，应当依照有关法律法规的规定办理相关手续。</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黑体" w:hAnsi="黑体" w:cs="黑体" w:hint="eastAsia" w:eastAsia="黑体"/>
          <w:bCs/>
          <w:color w:val="000000"/>
          <w:kern w:val="0"/>
          <w:szCs w:val="32"/>
        </w:rPr>
        <w:t>第二十九条</w:t>
      </w:r>
      <w:r>
        <w:rPr>
          <w:rFonts w:ascii="宋体" w:hAnsi="宋体" w:cs="黑体" w:hint="eastAsia" w:eastAsia="黑体"/>
          <w:color w:val="000000"/>
          <w:kern w:val="2"/>
          <w:szCs w:val="32"/>
        </w:rPr>
        <w:t xml:space="preserve">  </w:t>
      </w:r>
      <w:r>
        <w:rPr>
          <w:rFonts w:ascii="宋体" w:hAnsi="宋体" w:cs="仿宋_GB2312" w:hint="eastAsia"/>
          <w:color w:val="000000"/>
          <w:kern w:val="2"/>
          <w:szCs w:val="32"/>
        </w:rPr>
        <w:t>市、县级人民政府可以采取以下措施促进客家围龙屋的合理利用：</w:t>
      </w:r>
    </w:p>
    <w:p>
      <w:pPr>
        <w:pStyle w:val="Normal"/>
        <w:keepNext w:val="false"/>
        <w:keepLines w:val="false"/>
        <w:pageBreakBefore w:val="false"/>
        <w:kinsoku w:val="true"/>
        <w:overflowPunct w:val="true"/>
        <w:autoSpaceDE w:val="true"/>
        <w:bidi w:val="0"/>
        <w:spacing w:lineRule="exact" w:line="590"/>
        <w:ind w:firstLine="640" w:end="0"/>
        <w:textAlignment w:val="auto"/>
        <w:rPr>
          <w:rFonts w:ascii="宋体" w:hAnsi="宋体" w:cs="Times New Roman"/>
          <w:color w:val="000000"/>
          <w:kern w:val="2"/>
          <w:szCs w:val="32"/>
        </w:rPr>
      </w:pPr>
      <w:r>
        <w:rPr>
          <w:rFonts w:ascii="宋体" w:hAnsi="宋体" w:cs="仿宋_GB2312" w:hint="eastAsia"/>
          <w:color w:val="000000"/>
          <w:kern w:val="2"/>
          <w:szCs w:val="32"/>
        </w:rPr>
        <w:t>（一）通过资金扶助、简化手续、减免费用、开发权益奖励等措施支持合理利用活动；</w:t>
      </w:r>
    </w:p>
    <w:p>
      <w:pPr>
        <w:pStyle w:val="Normal"/>
        <w:keepNext w:val="false"/>
        <w:keepLines w:val="false"/>
        <w:pageBreakBefore w:val="false"/>
        <w:kinsoku w:val="true"/>
        <w:overflowPunct w:val="true"/>
        <w:autoSpaceDE w:val="true"/>
        <w:bidi w:val="0"/>
        <w:spacing w:lineRule="exact" w:line="590"/>
        <w:ind w:firstLine="640" w:end="0"/>
        <w:textAlignment w:val="auto"/>
        <w:rPr>
          <w:rFonts w:ascii="宋体" w:hAnsi="宋体" w:cs="Times New Roman"/>
          <w:color w:val="000000"/>
          <w:kern w:val="2"/>
          <w:szCs w:val="32"/>
        </w:rPr>
      </w:pPr>
      <w:r>
        <w:rPr>
          <w:rFonts w:ascii="宋体" w:hAnsi="宋体" w:cs="仿宋_GB2312" w:hint="eastAsia"/>
          <w:color w:val="000000"/>
          <w:kern w:val="2"/>
          <w:szCs w:val="32"/>
        </w:rPr>
        <w:t>（二）通过公开招标等方式，选择符合保护利用要求的单位和个人对国有客家围龙屋进行合理利用；</w:t>
      </w:r>
    </w:p>
    <w:p>
      <w:pPr>
        <w:pStyle w:val="Normal"/>
        <w:keepNext w:val="false"/>
        <w:keepLines w:val="false"/>
        <w:pageBreakBefore w:val="false"/>
        <w:kinsoku w:val="true"/>
        <w:overflowPunct w:val="true"/>
        <w:autoSpaceDE w:val="true"/>
        <w:bidi w:val="0"/>
        <w:spacing w:lineRule="exact" w:line="590"/>
        <w:ind w:firstLine="640" w:end="0"/>
        <w:textAlignment w:val="auto"/>
        <w:rPr>
          <w:rFonts w:ascii="宋体" w:hAnsi="宋体" w:cs="Times New Roman"/>
          <w:color w:val="000000"/>
          <w:kern w:val="2"/>
          <w:szCs w:val="32"/>
        </w:rPr>
      </w:pPr>
      <w:r>
        <w:rPr>
          <w:rFonts w:ascii="宋体" w:hAnsi="宋体" w:cs="仿宋_GB2312" w:hint="eastAsia"/>
          <w:color w:val="000000"/>
          <w:kern w:val="2"/>
          <w:szCs w:val="32"/>
        </w:rPr>
        <w:t>（三）采取租赁、托管等方式取得客家围龙屋的使用权，开展合理利用。</w:t>
      </w:r>
    </w:p>
    <w:p>
      <w:pPr>
        <w:pStyle w:val="Normal"/>
        <w:keepNext w:val="false"/>
        <w:keepLines w:val="false"/>
        <w:pageBreakBefore w:val="false"/>
        <w:kinsoku w:val="true"/>
        <w:overflowPunct w:val="true"/>
        <w:autoSpaceDE w:val="true"/>
        <w:bidi w:val="0"/>
        <w:spacing w:lineRule="exact" w:line="590"/>
        <w:ind w:firstLine="640" w:end="0"/>
        <w:textAlignment w:val="auto"/>
        <w:rPr>
          <w:rFonts w:ascii="宋体" w:hAnsi="宋体" w:cs="Times New Roman"/>
          <w:color w:val="000000"/>
          <w:kern w:val="2"/>
          <w:szCs w:val="32"/>
        </w:rPr>
      </w:pPr>
      <w:r>
        <w:rPr>
          <w:rFonts w:ascii="黑体" w:hAnsi="黑体" w:cs="黑体" w:hint="eastAsia" w:eastAsia="黑体"/>
          <w:bCs/>
          <w:color w:val="000000"/>
          <w:kern w:val="0"/>
          <w:szCs w:val="32"/>
        </w:rPr>
        <w:t>第三十条</w:t>
      </w:r>
      <w:r>
        <w:rPr>
          <w:rFonts w:ascii="宋体" w:hAnsi="宋体" w:cs="黑体" w:hint="eastAsia" w:eastAsia="黑体"/>
          <w:color w:val="000000"/>
          <w:kern w:val="2"/>
          <w:szCs w:val="32"/>
        </w:rPr>
        <w:t xml:space="preserve">  </w:t>
      </w:r>
      <w:r>
        <w:rPr>
          <w:rFonts w:ascii="宋体" w:hAnsi="宋体" w:cs="仿宋_GB2312" w:hint="eastAsia"/>
          <w:color w:val="000000"/>
          <w:kern w:val="2"/>
          <w:szCs w:val="32"/>
        </w:rPr>
        <w:t>市、县级人民政府应当鼓励整理、研究和利用客家围龙屋文化资源，挖掘地缘文化特质，打造传统民居品牌，开发具有地方特色的文化艺术衍生品等产品。</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黑体" w:hAnsi="黑体" w:cs="黑体" w:hint="eastAsia" w:eastAsia="黑体"/>
          <w:bCs/>
          <w:color w:val="000000"/>
          <w:kern w:val="0"/>
          <w:szCs w:val="32"/>
        </w:rPr>
        <w:t>第三十一条</w:t>
      </w:r>
      <w:r>
        <w:rPr>
          <w:rFonts w:ascii="宋体" w:hAnsi="宋体" w:cs="黑体" w:hint="eastAsia" w:eastAsia="黑体"/>
          <w:color w:val="000000"/>
          <w:kern w:val="2"/>
          <w:szCs w:val="32"/>
        </w:rPr>
        <w:t xml:space="preserve">  </w:t>
      </w:r>
      <w:r>
        <w:rPr>
          <w:rFonts w:ascii="宋体" w:hAnsi="宋体" w:cs="仿宋_GB2312" w:hint="eastAsia"/>
          <w:color w:val="000000"/>
          <w:kern w:val="2"/>
          <w:szCs w:val="32"/>
        </w:rPr>
        <w:t>鼓励所有权人、使用权人、管理人在符合安全居住条件的客家围龙屋内居住，相关部门可以提供用电、用水、通讯、排污、垃圾处理等生活便利。</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宋体" w:hAnsi="宋体" w:cs="仿宋_GB2312" w:hint="eastAsia"/>
          <w:color w:val="000000"/>
          <w:kern w:val="2"/>
          <w:szCs w:val="32"/>
        </w:rPr>
        <w:t>鼓励所有权人依法利用客家围龙屋发展文化旅游产业和传统手工业。</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宋体" w:hAnsi="宋体" w:cs="仿宋_GB2312" w:hint="eastAsia"/>
          <w:color w:val="000000"/>
          <w:kern w:val="2"/>
          <w:szCs w:val="32"/>
        </w:rPr>
        <w:t>鼓励依法利用客家围龙屋开办民宿旅游经营，为旅游者休闲度假、体验当地风俗文化等提供住宿、餐饮等服务。</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黑体" w:hAnsi="黑体" w:cs="黑体" w:hint="eastAsia" w:eastAsia="黑体"/>
          <w:bCs/>
          <w:color w:val="000000"/>
          <w:kern w:val="0"/>
          <w:szCs w:val="32"/>
        </w:rPr>
        <w:t>第三十二条</w:t>
      </w:r>
      <w:r>
        <w:rPr>
          <w:rFonts w:ascii="宋体" w:hAnsi="宋体" w:cs="黑体" w:hint="eastAsia" w:eastAsia="黑体"/>
          <w:color w:val="000000"/>
          <w:kern w:val="2"/>
          <w:szCs w:val="32"/>
        </w:rPr>
        <w:t xml:space="preserve">  </w:t>
      </w:r>
      <w:r>
        <w:rPr>
          <w:rFonts w:ascii="宋体" w:hAnsi="宋体" w:cs="仿宋_GB2312" w:hint="eastAsia"/>
          <w:color w:val="000000"/>
          <w:kern w:val="2"/>
          <w:szCs w:val="32"/>
        </w:rPr>
        <w:t>客家围龙屋的所有权人可以以客家围龙屋或者资金入股，与其他社会资本共同参与客家围龙屋的保护利用，并依法享有收益权。客家围龙屋所有权人还可以通过功能置换、兼容使用、经营权转让等多种形式，利用客家围龙屋开展与保护规划相适应的文化创意、文化研究以及开办展览馆、博物馆等特色经营活动。</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黑体" w:hAnsi="黑体" w:cs="黑体" w:hint="eastAsia" w:eastAsia="黑体"/>
          <w:bCs/>
          <w:color w:val="000000"/>
          <w:kern w:val="0"/>
          <w:szCs w:val="32"/>
        </w:rPr>
        <w:t>第三十三条</w:t>
      </w:r>
      <w:r>
        <w:rPr>
          <w:rFonts w:ascii="宋体" w:hAnsi="宋体" w:cs="黑体" w:hint="eastAsia" w:eastAsia="黑体"/>
          <w:color w:val="000000"/>
          <w:kern w:val="2"/>
          <w:szCs w:val="32"/>
        </w:rPr>
        <w:t xml:space="preserve">  </w:t>
      </w:r>
      <w:r>
        <w:rPr>
          <w:rFonts w:ascii="宋体" w:hAnsi="宋体" w:cs="仿宋_GB2312" w:hint="eastAsia"/>
          <w:color w:val="000000"/>
          <w:kern w:val="2"/>
          <w:szCs w:val="32"/>
        </w:rPr>
        <w:t>鼓励具备保护发展能力的企业、社会组织和个人与客家围龙屋所有权人签订合作协议，自愿出资对客家围龙屋依法进行保护管理、合理利用。</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
          <w:color w:val="000000"/>
          <w:kern w:val="2"/>
          <w:szCs w:val="32"/>
        </w:rPr>
      </w:pPr>
      <w:r>
        <w:rPr>
          <w:rFonts w:ascii="黑体" w:hAnsi="黑体" w:cs="黑体" w:hint="eastAsia" w:eastAsia="黑体"/>
          <w:bCs/>
          <w:color w:val="000000"/>
          <w:kern w:val="0"/>
          <w:szCs w:val="32"/>
        </w:rPr>
        <w:t>第三十四条</w:t>
      </w:r>
      <w:r>
        <w:rPr>
          <w:rFonts w:ascii="宋体" w:hAnsi="宋体" w:cs="黑体" w:hint="eastAsia" w:eastAsia="黑体"/>
          <w:color w:val="000000"/>
          <w:kern w:val="2"/>
          <w:szCs w:val="32"/>
        </w:rPr>
        <w:t xml:space="preserve">  </w:t>
      </w:r>
      <w:r>
        <w:rPr>
          <w:rFonts w:ascii="宋体" w:hAnsi="宋体" w:cs="仿宋_GB2312" w:hint="eastAsia"/>
          <w:color w:val="000000"/>
          <w:kern w:val="2"/>
          <w:szCs w:val="32"/>
        </w:rPr>
        <w:t>鼓励和引导客家围龙屋资源集中的地区，整合客家围龙屋资源，进行集中连片保护和统一利用。</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宋体" w:hAnsi="宋体" w:cs="仿宋_GB2312" w:hint="eastAsia"/>
          <w:color w:val="000000"/>
          <w:kern w:val="2"/>
          <w:szCs w:val="32"/>
        </w:rPr>
        <w:t>县级人民政府可以选取本行政区域内具有代表性的客家围龙屋单体或者群落进行重点保护利用，为本行政区域内的客家围龙屋保护利用提供典型示范。</w:t>
      </w:r>
    </w:p>
    <w:p>
      <w:pPr>
        <w:pStyle w:val="Normal"/>
        <w:keepNext w:val="false"/>
        <w:keepLines w:val="false"/>
        <w:pageBreakBefore w:val="false"/>
        <w:kinsoku w:val="true"/>
        <w:overflowPunct w:val="true"/>
        <w:autoSpaceDE w:val="true"/>
        <w:bidi w:val="0"/>
        <w:spacing w:lineRule="exact" w:line="590"/>
        <w:jc w:val="center"/>
        <w:textAlignment w:val="auto"/>
        <w:rPr>
          <w:rFonts w:ascii="宋体" w:hAnsi="宋体" w:eastAsia="黑体" w:cs="Times New Roman"/>
          <w:color w:val="000000"/>
          <w:kern w:val="2"/>
          <w:szCs w:val="32"/>
        </w:rPr>
      </w:pPr>
      <w:r>
        <w:rPr>
          <w:rFonts w:eastAsia="黑体" w:cs="Times New Roman" w:ascii="宋体" w:hAnsi="宋体"/>
          <w:color w:val="000000"/>
          <w:kern w:val="2"/>
          <w:szCs w:val="32"/>
        </w:rPr>
      </w:r>
    </w:p>
    <w:p>
      <w:pPr>
        <w:pStyle w:val="Normal"/>
        <w:keepNext w:val="false"/>
        <w:keepLines w:val="false"/>
        <w:pageBreakBefore w:val="false"/>
        <w:kinsoku w:val="true"/>
        <w:overflowPunct w:val="true"/>
        <w:autoSpaceDE w:val="true"/>
        <w:bidi w:val="0"/>
        <w:spacing w:lineRule="exact" w:line="590"/>
        <w:ind w:firstLineChars="200" w:startChars="0" w:start="0" w:endChars="0" w:end="0"/>
        <w:jc w:val="center"/>
        <w:textAlignment w:val="auto"/>
        <w:rPr>
          <w:rFonts w:ascii="宋体" w:hAnsi="宋体" w:cs="仿宋_GB2312" w:hint="eastAsia"/>
          <w:color w:val="000000"/>
          <w:kern w:val="2"/>
          <w:szCs w:val="32"/>
        </w:rPr>
      </w:pPr>
      <w:r>
        <w:rPr>
          <w:rFonts w:ascii="黑体" w:hAnsi="黑体" w:cs="黑体" w:hint="eastAsia" w:eastAsia="黑体"/>
          <w:bCs/>
          <w:color w:val="000000"/>
          <w:kern w:val="0"/>
          <w:szCs w:val="32"/>
        </w:rPr>
        <w:t>第四章  资金保障</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楷体_GB2312" w:cs="Times New Roman" w:hint="eastAsia"/>
          <w:color w:val="000000"/>
          <w:kern w:val="2"/>
          <w:szCs w:val="32"/>
        </w:rPr>
      </w:pPr>
      <w:r>
        <w:rPr>
          <w:rFonts w:eastAsia="楷体_GB2312" w:cs="Times New Roman" w:hint="eastAsia" w:ascii="宋体" w:hAnsi="宋体"/>
          <w:color w:val="000000"/>
          <w:kern w:val="2"/>
          <w:szCs w:val="32"/>
        </w:rPr>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黑体" w:hAnsi="黑体" w:cs="黑体" w:hint="eastAsia" w:eastAsia="黑体"/>
          <w:bCs/>
          <w:color w:val="000000"/>
          <w:kern w:val="0"/>
          <w:szCs w:val="32"/>
        </w:rPr>
        <w:t>第三十五条</w:t>
      </w:r>
      <w:r>
        <w:rPr>
          <w:rFonts w:ascii="宋体" w:hAnsi="宋体" w:cs="黑体" w:hint="eastAsia" w:eastAsia="黑体"/>
          <w:color w:val="000000"/>
          <w:kern w:val="2"/>
          <w:szCs w:val="32"/>
        </w:rPr>
        <w:t xml:space="preserve">  </w:t>
      </w:r>
      <w:r>
        <w:rPr>
          <w:rFonts w:ascii="宋体" w:hAnsi="宋体" w:cs="仿宋_GB2312" w:hint="eastAsia"/>
          <w:color w:val="000000"/>
          <w:kern w:val="2"/>
          <w:szCs w:val="32"/>
        </w:rPr>
        <w:t>市人民政府应当为客家围龙屋保护提供必要的资金保障，县级人民政府应当将客家围龙屋保护经费列入财政预算。</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宋体" w:hAnsi="宋体" w:cs="仿宋_GB2312" w:hint="eastAsia"/>
          <w:color w:val="000000"/>
          <w:kern w:val="2"/>
          <w:szCs w:val="32"/>
        </w:rPr>
        <w:t>客家围龙屋保护资金来源包括：</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宋体" w:hAnsi="宋体" w:cs="仿宋_GB2312" w:hint="eastAsia"/>
          <w:color w:val="000000"/>
          <w:kern w:val="2"/>
          <w:szCs w:val="32"/>
        </w:rPr>
        <w:t>（一）上级专项补助的资金；</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宋体" w:hAnsi="宋体" w:cs="仿宋_GB2312" w:hint="eastAsia"/>
          <w:color w:val="000000"/>
          <w:kern w:val="2"/>
          <w:szCs w:val="32"/>
        </w:rPr>
        <w:t>（二）市级财政提供的资金；</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宋体" w:hAnsi="宋体" w:cs="仿宋_GB2312" w:hint="eastAsia"/>
          <w:color w:val="000000"/>
          <w:kern w:val="2"/>
          <w:szCs w:val="32"/>
        </w:rPr>
        <w:t>（三）县级财政预算安排的资金；</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宋体" w:hAnsi="宋体" w:cs="仿宋_GB2312" w:hint="eastAsia"/>
          <w:color w:val="000000"/>
          <w:kern w:val="2"/>
          <w:szCs w:val="32"/>
        </w:rPr>
        <w:t>（四）社会各界捐赠的资金；</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宋体" w:hAnsi="宋体" w:cs="仿宋_GB2312" w:hint="eastAsia"/>
          <w:color w:val="000000"/>
          <w:kern w:val="2"/>
          <w:szCs w:val="32"/>
        </w:rPr>
        <w:t>（五）其他依法筹集的资金。</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黑体" w:hAnsi="黑体" w:cs="黑体" w:hint="eastAsia" w:eastAsia="黑体"/>
          <w:bCs/>
          <w:color w:val="000000"/>
          <w:kern w:val="0"/>
          <w:szCs w:val="32"/>
        </w:rPr>
        <w:t>第三十六条</w:t>
      </w:r>
      <w:r>
        <w:rPr>
          <w:rFonts w:ascii="宋体" w:hAnsi="宋体" w:cs="黑体" w:hint="eastAsia" w:eastAsia="黑体"/>
          <w:color w:val="000000"/>
          <w:kern w:val="2"/>
          <w:szCs w:val="32"/>
        </w:rPr>
        <w:t xml:space="preserve">  </w:t>
      </w:r>
      <w:r>
        <w:rPr>
          <w:rFonts w:ascii="宋体" w:hAnsi="宋体" w:cs="仿宋_GB2312" w:hint="eastAsia"/>
          <w:color w:val="000000"/>
          <w:kern w:val="2"/>
          <w:szCs w:val="32"/>
        </w:rPr>
        <w:t>客家围龙屋保护资金应当重点保障列入保护名录客家围龙屋的保护利用，并主要用于以下支出：</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宋体" w:hAnsi="宋体" w:cs="仿宋_GB2312" w:hint="eastAsia"/>
          <w:color w:val="000000"/>
          <w:kern w:val="2"/>
          <w:szCs w:val="32"/>
        </w:rPr>
        <w:t>（一）保护规划编制的费用；</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宋体" w:hAnsi="宋体" w:cs="仿宋_GB2312" w:hint="eastAsia"/>
          <w:color w:val="000000"/>
          <w:kern w:val="2"/>
          <w:szCs w:val="32"/>
        </w:rPr>
        <w:t>（二）客家围龙屋的维护修缮费用；</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宋体" w:hAnsi="宋体" w:cs="仿宋_GB2312" w:hint="eastAsia"/>
          <w:color w:val="000000"/>
          <w:kern w:val="2"/>
          <w:szCs w:val="32"/>
        </w:rPr>
        <w:t>（三）调查、认定及档案管理的费用；</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宋体" w:hAnsi="宋体" w:cs="仿宋_GB2312" w:hint="eastAsia"/>
          <w:color w:val="000000"/>
          <w:kern w:val="2"/>
          <w:szCs w:val="32"/>
        </w:rPr>
        <w:t>（四）保护管理信息系统建设和维护的费用；</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宋体" w:hAnsi="宋体" w:cs="仿宋_GB2312" w:hint="eastAsia"/>
          <w:color w:val="000000"/>
          <w:kern w:val="2"/>
          <w:szCs w:val="32"/>
        </w:rPr>
        <w:t>（五）编制维修、设计方案的费用；</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宋体" w:hAnsi="宋体" w:cs="仿宋_GB2312" w:hint="eastAsia"/>
          <w:color w:val="000000"/>
          <w:kern w:val="2"/>
          <w:szCs w:val="32"/>
        </w:rPr>
        <w:t>（六）保护标识制作、设置的费用；</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宋体" w:hAnsi="宋体" w:cs="仿宋_GB2312" w:hint="eastAsia"/>
          <w:color w:val="000000"/>
          <w:kern w:val="2"/>
          <w:szCs w:val="32"/>
        </w:rPr>
        <w:t>（七）促进客家围龙屋合理利用的费用；</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宋体" w:hAnsi="宋体" w:cs="仿宋_GB2312" w:hint="eastAsia"/>
          <w:color w:val="000000"/>
          <w:kern w:val="2"/>
          <w:szCs w:val="32"/>
        </w:rPr>
        <w:t>（八）培训古民居建筑工匠，培育和引进传统建筑保护专业人才的费用；</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宋体" w:hAnsi="宋体" w:cs="仿宋_GB2312" w:hint="eastAsia"/>
          <w:color w:val="000000"/>
          <w:kern w:val="2"/>
          <w:szCs w:val="32"/>
        </w:rPr>
        <w:t>（九）奖励补助措施的费用；</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宋体" w:hAnsi="宋体" w:cs="仿宋_GB2312" w:hint="eastAsia"/>
          <w:color w:val="000000"/>
          <w:kern w:val="2"/>
          <w:szCs w:val="32"/>
        </w:rPr>
        <w:t>（十）其他保护所需的必要费用。</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黑体" w:hAnsi="黑体" w:cs="黑体" w:hint="eastAsia" w:eastAsia="黑体"/>
          <w:bCs/>
          <w:color w:val="000000"/>
          <w:kern w:val="0"/>
          <w:szCs w:val="32"/>
        </w:rPr>
        <w:t>第三十七条</w:t>
      </w:r>
      <w:r>
        <w:rPr>
          <w:rFonts w:ascii="宋体" w:hAnsi="宋体" w:cs="黑体" w:hint="eastAsia" w:eastAsia="黑体"/>
          <w:color w:val="000000"/>
          <w:kern w:val="2"/>
          <w:szCs w:val="32"/>
        </w:rPr>
        <w:t xml:space="preserve">  </w:t>
      </w:r>
      <w:r>
        <w:rPr>
          <w:rFonts w:ascii="宋体" w:hAnsi="宋体" w:cs="仿宋_GB2312" w:hint="eastAsia"/>
          <w:color w:val="000000"/>
          <w:kern w:val="2"/>
          <w:szCs w:val="32"/>
        </w:rPr>
        <w:t>任何单位和个人不得截留、侵占、挪用客家围龙屋保护资金。</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宋体" w:hAnsi="宋体" w:cs="仿宋_GB2312" w:hint="eastAsia"/>
          <w:color w:val="000000"/>
          <w:kern w:val="2"/>
          <w:szCs w:val="32"/>
        </w:rPr>
        <w:t>财政、审计、监察等部门应当按照各自职责，对客家围龙屋保护资金的使用情况进行检查、审计和监督。</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黑体" w:hAnsi="黑体" w:cs="黑体" w:hint="eastAsia" w:eastAsia="黑体"/>
          <w:bCs/>
          <w:color w:val="000000"/>
          <w:kern w:val="0"/>
          <w:szCs w:val="32"/>
        </w:rPr>
        <w:t>第三十八条</w:t>
      </w:r>
      <w:r>
        <w:rPr>
          <w:rFonts w:ascii="宋体" w:hAnsi="宋体" w:cs="黑体" w:hint="eastAsia" w:eastAsia="黑体"/>
          <w:color w:val="000000"/>
          <w:kern w:val="2"/>
          <w:szCs w:val="32"/>
        </w:rPr>
        <w:t xml:space="preserve">  </w:t>
      </w:r>
      <w:r>
        <w:rPr>
          <w:rFonts w:ascii="宋体" w:hAnsi="宋体" w:cs="仿宋_GB2312" w:hint="eastAsia"/>
          <w:color w:val="000000"/>
          <w:kern w:val="2"/>
          <w:szCs w:val="32"/>
        </w:rPr>
        <w:t>单位和个人根据法律法规规定对客家围龙屋的保护进行公益性捐赠的，依法享受税收方面的优惠。</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cs="Times New Roman" w:ascii="宋体" w:hAnsi="宋体"/>
          <w:color w:val="000000"/>
          <w:kern w:val="2"/>
          <w:szCs w:val="32"/>
        </w:rPr>
      </w:r>
    </w:p>
    <w:p>
      <w:pPr>
        <w:pStyle w:val="Normal"/>
        <w:keepNext w:val="false"/>
        <w:keepLines w:val="false"/>
        <w:pageBreakBefore w:val="false"/>
        <w:kinsoku w:val="true"/>
        <w:overflowPunct w:val="true"/>
        <w:autoSpaceDE w:val="true"/>
        <w:bidi w:val="0"/>
        <w:spacing w:lineRule="exact" w:line="590"/>
        <w:ind w:firstLineChars="200" w:startChars="0" w:start="0" w:endChars="0" w:end="0"/>
        <w:jc w:val="center"/>
        <w:textAlignment w:val="auto"/>
        <w:rPr>
          <w:rFonts w:ascii="宋体" w:hAnsi="宋体" w:cs="仿宋_GB2312" w:hint="eastAsia"/>
          <w:color w:val="000000"/>
          <w:kern w:val="2"/>
          <w:szCs w:val="32"/>
        </w:rPr>
      </w:pPr>
      <w:r>
        <w:rPr>
          <w:rFonts w:ascii="黑体" w:hAnsi="黑体" w:cs="黑体" w:hint="eastAsia" w:eastAsia="黑体"/>
          <w:bCs/>
          <w:color w:val="000000"/>
          <w:kern w:val="0"/>
          <w:szCs w:val="32"/>
        </w:rPr>
        <w:t>第五章  法律责任</w:t>
      </w:r>
    </w:p>
    <w:p>
      <w:pPr>
        <w:pStyle w:val="Normal"/>
        <w:keepNext w:val="false"/>
        <w:keepLines w:val="false"/>
        <w:pageBreakBefore w:val="false"/>
        <w:kinsoku w:val="true"/>
        <w:overflowPunct w:val="true"/>
        <w:autoSpaceDE w:val="true"/>
        <w:bidi w:val="0"/>
        <w:spacing w:lineRule="exact" w:line="590"/>
        <w:jc w:val="center"/>
        <w:textAlignment w:val="auto"/>
        <w:rPr>
          <w:rFonts w:ascii="宋体" w:hAnsi="宋体" w:eastAsia="黑体" w:cs="Times New Roman" w:hint="eastAsia"/>
          <w:color w:val="000000"/>
          <w:kern w:val="2"/>
          <w:szCs w:val="32"/>
        </w:rPr>
      </w:pPr>
      <w:r>
        <w:rPr>
          <w:rFonts w:eastAsia="黑体" w:cs="Times New Roman" w:hint="eastAsia" w:ascii="宋体" w:hAnsi="宋体"/>
          <w:color w:val="000000"/>
          <w:kern w:val="2"/>
          <w:szCs w:val="32"/>
        </w:rPr>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黑体" w:hAnsi="黑体" w:cs="黑体" w:hint="eastAsia" w:eastAsia="黑体"/>
          <w:bCs/>
          <w:color w:val="000000"/>
          <w:kern w:val="0"/>
          <w:szCs w:val="32"/>
        </w:rPr>
        <w:t>第三十九条</w:t>
      </w:r>
      <w:r>
        <w:rPr>
          <w:rFonts w:ascii="宋体" w:hAnsi="宋体" w:cs="黑体" w:hint="eastAsia" w:eastAsia="黑体"/>
          <w:color w:val="000000"/>
          <w:kern w:val="2"/>
          <w:szCs w:val="32"/>
        </w:rPr>
        <w:t xml:space="preserve">  </w:t>
      </w:r>
      <w:r>
        <w:rPr>
          <w:rFonts w:ascii="宋体" w:hAnsi="宋体" w:cs="仿宋_GB2312" w:hint="eastAsia"/>
          <w:color w:val="000000"/>
          <w:kern w:val="2"/>
          <w:szCs w:val="32"/>
        </w:rPr>
        <w:t>违反本条例规定，市、县级人民政府有关部门或者镇人民政府、街道办事处有下列行为之一的，由市、县级人民政府依法责令改正，情节严重的，对直接负责的主管人员和其他直接责任人员依法给予处分；构成犯罪的，依法追究刑事责任：</w:t>
      </w:r>
    </w:p>
    <w:p>
      <w:pPr>
        <w:pStyle w:val="Normal"/>
        <w:keepNext w:val="false"/>
        <w:keepLines w:val="false"/>
        <w:pageBreakBefore w:val="false"/>
        <w:kinsoku w:val="true"/>
        <w:overflowPunct w:val="true"/>
        <w:autoSpaceDE w:val="true"/>
        <w:bidi w:val="0"/>
        <w:spacing w:lineRule="exact" w:line="590"/>
        <w:ind w:firstLine="640" w:end="0"/>
        <w:textAlignment w:val="auto"/>
        <w:rPr>
          <w:rFonts w:ascii="宋体" w:hAnsi="宋体" w:cs="Times New Roman"/>
          <w:color w:val="000000"/>
          <w:kern w:val="2"/>
          <w:szCs w:val="32"/>
        </w:rPr>
      </w:pPr>
      <w:r>
        <w:rPr>
          <w:rFonts w:ascii="宋体" w:hAnsi="宋体" w:cs="仿宋_GB2312" w:hint="eastAsia"/>
          <w:color w:val="000000"/>
          <w:kern w:val="2"/>
          <w:szCs w:val="32"/>
        </w:rPr>
        <w:t>（一）未按照规定组织编制客家围龙屋保护规划的；</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宋体" w:hAnsi="宋体" w:cs="仿宋_GB2312" w:hint="eastAsia"/>
          <w:color w:val="000000"/>
          <w:kern w:val="2"/>
          <w:szCs w:val="32"/>
        </w:rPr>
        <w:t>（二）滥用审批权限、不履行法定职责或者发现违法行为不予查处的；</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
          <w:color w:val="000000"/>
          <w:kern w:val="2"/>
          <w:szCs w:val="32"/>
        </w:rPr>
      </w:pPr>
      <w:r>
        <w:rPr>
          <w:rFonts w:ascii="宋体" w:hAnsi="宋体" w:cs="仿宋_GB2312" w:hint="eastAsia"/>
          <w:color w:val="000000"/>
          <w:kern w:val="2"/>
          <w:szCs w:val="32"/>
        </w:rPr>
        <w:t>（三）未按照规定定期开展客家围龙屋普查并将普查结果报送的；</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
          <w:color w:val="000000"/>
          <w:kern w:val="2"/>
          <w:szCs w:val="32"/>
        </w:rPr>
      </w:pPr>
      <w:r>
        <w:rPr>
          <w:rFonts w:ascii="宋体" w:hAnsi="宋体" w:cs="仿宋_GB2312" w:hint="eastAsia"/>
          <w:color w:val="000000"/>
          <w:kern w:val="2"/>
          <w:szCs w:val="32"/>
        </w:rPr>
        <w:t>（四）截留、侵占、挪用客家围龙屋保护资金的；</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宋体" w:hAnsi="宋体" w:cs="仿宋_GB2312" w:hint="eastAsia"/>
          <w:color w:val="000000"/>
          <w:kern w:val="2"/>
          <w:szCs w:val="32"/>
        </w:rPr>
        <w:t>（五）其他玩忽职守、滥用职权、徇私舞弊的行为。</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黑体" w:hAnsi="黑体" w:cs="黑体" w:hint="eastAsia" w:eastAsia="黑体"/>
          <w:bCs/>
          <w:color w:val="000000"/>
          <w:kern w:val="0"/>
          <w:szCs w:val="32"/>
        </w:rPr>
        <w:t>第四十条</w:t>
      </w:r>
      <w:r>
        <w:rPr>
          <w:rFonts w:ascii="宋体" w:hAnsi="宋体" w:cs="黑体" w:hint="eastAsia" w:eastAsia="黑体"/>
          <w:color w:val="000000"/>
          <w:kern w:val="2"/>
          <w:szCs w:val="32"/>
        </w:rPr>
        <w:t xml:space="preserve">  </w:t>
      </w:r>
      <w:r>
        <w:rPr>
          <w:rFonts w:ascii="宋体" w:hAnsi="宋体" w:cs="仿宋_GB2312" w:hint="eastAsia"/>
          <w:color w:val="000000"/>
          <w:kern w:val="2"/>
          <w:szCs w:val="32"/>
        </w:rPr>
        <w:t>违反本条例第十六条第四款规定，擅自设置、移动、涂改或者损毁客家围龙屋保护标识的，由县级人民政府文物主管部门责令停止违法行为、限期恢复原状或者采取其他补救措施，并处二百元以下罚款。</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仿宋_GB2312"/>
          <w:color w:val="000000"/>
          <w:kern w:val="2"/>
          <w:szCs w:val="32"/>
        </w:rPr>
      </w:pPr>
      <w:r>
        <w:rPr>
          <w:rFonts w:ascii="黑体" w:hAnsi="黑体" w:cs="黑体" w:hint="eastAsia" w:eastAsia="黑体"/>
          <w:bCs/>
          <w:color w:val="000000"/>
          <w:kern w:val="0"/>
          <w:szCs w:val="32"/>
        </w:rPr>
        <w:t>第四十一条</w:t>
      </w:r>
      <w:r>
        <w:rPr>
          <w:rFonts w:ascii="宋体" w:hAnsi="宋体" w:cs="黑体" w:hint="eastAsia" w:eastAsia="黑体"/>
          <w:color w:val="000000"/>
          <w:kern w:val="2"/>
          <w:szCs w:val="32"/>
        </w:rPr>
        <w:t xml:space="preserve">  </w:t>
      </w:r>
      <w:r>
        <w:rPr>
          <w:rFonts w:ascii="宋体" w:hAnsi="宋体" w:cs="仿宋_GB2312" w:hint="eastAsia"/>
          <w:color w:val="000000"/>
          <w:kern w:val="2"/>
          <w:szCs w:val="32"/>
        </w:rPr>
        <w:t>违反本条例第二十三条第一款规定，在客家围龙屋保护范围或者建设控制地带内，建设污染客家围龙屋及其环境的设施的，由生态环境主管部门依照有关法律法规的规定给予处罚。</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黑体" w:hAnsi="黑体" w:cs="黑体" w:hint="eastAsia" w:eastAsia="黑体"/>
          <w:bCs/>
          <w:color w:val="000000"/>
          <w:kern w:val="0"/>
          <w:szCs w:val="32"/>
        </w:rPr>
        <w:t>第四十二条</w:t>
      </w:r>
      <w:r>
        <w:rPr>
          <w:rFonts w:ascii="宋体" w:hAnsi="宋体" w:cs="黑体" w:hint="eastAsia" w:eastAsia="黑体"/>
          <w:color w:val="000000"/>
          <w:kern w:val="2"/>
          <w:szCs w:val="32"/>
        </w:rPr>
        <w:t xml:space="preserve">  </w:t>
      </w:r>
      <w:r>
        <w:rPr>
          <w:rFonts w:ascii="宋体" w:hAnsi="宋体" w:cs="仿宋_GB2312" w:hint="eastAsia"/>
          <w:color w:val="000000"/>
          <w:kern w:val="2"/>
          <w:szCs w:val="32"/>
        </w:rPr>
        <w:t>违反本条例规定，造成列入保护名录的客家围龙屋损毁、灭失的，依法承担民事责任；构成违反治安管理行为的，由公安机关依法给予处罚；构成犯罪的，依法追究刑事责任。</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cs="Times New Roman" w:ascii="宋体" w:hAnsi="宋体"/>
          <w:color w:val="000000"/>
          <w:kern w:val="2"/>
          <w:szCs w:val="32"/>
        </w:rPr>
      </w:r>
    </w:p>
    <w:p>
      <w:pPr>
        <w:pStyle w:val="Normal"/>
        <w:keepNext w:val="false"/>
        <w:keepLines w:val="false"/>
        <w:pageBreakBefore w:val="false"/>
        <w:kinsoku w:val="true"/>
        <w:overflowPunct w:val="true"/>
        <w:autoSpaceDE w:val="true"/>
        <w:bidi w:val="0"/>
        <w:spacing w:lineRule="exact" w:line="590"/>
        <w:ind w:firstLineChars="200" w:startChars="0" w:start="0" w:endChars="0" w:end="0"/>
        <w:jc w:val="center"/>
        <w:textAlignment w:val="auto"/>
        <w:rPr>
          <w:rFonts w:ascii="宋体" w:hAnsi="宋体" w:cs="仿宋_GB2312" w:hint="eastAsia"/>
          <w:color w:val="000000"/>
          <w:kern w:val="2"/>
          <w:szCs w:val="32"/>
        </w:rPr>
      </w:pPr>
      <w:r>
        <w:rPr>
          <w:rFonts w:ascii="黑体" w:hAnsi="黑体" w:cs="黑体" w:hint="eastAsia" w:eastAsia="黑体"/>
          <w:bCs/>
          <w:color w:val="000000"/>
          <w:kern w:val="0"/>
          <w:szCs w:val="32"/>
        </w:rPr>
        <w:t>第六章  附则</w:t>
      </w:r>
    </w:p>
    <w:p>
      <w:pPr>
        <w:pStyle w:val="Normal"/>
        <w:keepNext w:val="false"/>
        <w:keepLines w:val="false"/>
        <w:pageBreakBefore w:val="false"/>
        <w:kinsoku w:val="true"/>
        <w:overflowPunct w:val="true"/>
        <w:autoSpaceDE w:val="true"/>
        <w:bidi w:val="0"/>
        <w:spacing w:lineRule="exact" w:line="590"/>
        <w:jc w:val="center"/>
        <w:textAlignment w:val="auto"/>
        <w:rPr>
          <w:rFonts w:ascii="宋体" w:hAnsi="宋体" w:eastAsia="黑体" w:cs="Times New Roman" w:hint="eastAsia"/>
          <w:color w:val="000000"/>
          <w:kern w:val="2"/>
          <w:szCs w:val="32"/>
        </w:rPr>
      </w:pPr>
      <w:r>
        <w:rPr>
          <w:rFonts w:eastAsia="黑体" w:cs="Times New Roman" w:hint="eastAsia" w:ascii="宋体" w:hAnsi="宋体"/>
          <w:color w:val="000000"/>
          <w:kern w:val="2"/>
          <w:szCs w:val="32"/>
        </w:rPr>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color w:val="000000"/>
          <w:kern w:val="2"/>
          <w:szCs w:val="32"/>
        </w:rPr>
      </w:pPr>
      <w:r>
        <w:rPr>
          <w:rFonts w:ascii="黑体" w:hAnsi="黑体" w:cs="黑体" w:hint="eastAsia" w:eastAsia="黑体"/>
          <w:bCs/>
          <w:color w:val="000000"/>
          <w:kern w:val="0"/>
          <w:szCs w:val="32"/>
        </w:rPr>
        <w:t>第四十三条</w:t>
      </w:r>
      <w:r>
        <w:rPr>
          <w:rFonts w:ascii="宋体" w:hAnsi="宋体" w:cs="黑体" w:hint="eastAsia" w:eastAsia="黑体"/>
          <w:color w:val="000000"/>
          <w:kern w:val="2"/>
          <w:szCs w:val="32"/>
        </w:rPr>
        <w:t xml:space="preserve">  </w:t>
      </w:r>
      <w:r>
        <w:rPr>
          <w:rFonts w:ascii="宋体" w:hAnsi="宋体" w:cs="仿宋_GB2312" w:hint="eastAsia"/>
          <w:color w:val="000000"/>
          <w:kern w:val="2"/>
          <w:szCs w:val="32"/>
        </w:rPr>
        <w:t>本市行政区域内除客家围龙屋外，对已公布为不可移动文物的其他古民居，适用本条例第一类客家围龙屋保护的规定，对已确定公布为历史建筑的其他古民居，适用本条例第二类客家围龙屋保护的规定。</w:t>
      </w:r>
    </w:p>
    <w:p>
      <w:pPr>
        <w:pStyle w:val="Normal"/>
        <w:ind w:firstLineChars="200" w:startChars="0" w:start="0" w:endChars="0" w:end="0"/>
        <w:rPr/>
      </w:pPr>
      <w:r>
        <w:rPr>
          <w:rFonts w:ascii="黑体" w:hAnsi="黑体" w:cs="黑体" w:hint="eastAsia" w:eastAsia="黑体"/>
          <w:bCs/>
          <w:color w:val="000000"/>
          <w:kern w:val="0"/>
          <w:szCs w:val="32"/>
        </w:rPr>
        <w:t>第四十四条</w:t>
      </w:r>
      <w:r>
        <w:rPr>
          <w:rFonts w:ascii="宋体" w:hAnsi="宋体" w:cs="黑体" w:hint="eastAsia" w:eastAsia="黑体"/>
          <w:color w:val="000000"/>
          <w:kern w:val="2"/>
          <w:szCs w:val="32"/>
        </w:rPr>
        <w:t xml:space="preserve">  </w:t>
      </w:r>
      <w:r>
        <w:rPr>
          <w:rFonts w:ascii="宋体" w:hAnsi="宋体" w:cs="Times New Roman" w:hint="eastAsia"/>
          <w:color w:val="000000"/>
          <w:kern w:val="2"/>
          <w:szCs w:val="32"/>
        </w:rPr>
        <w:t>本条例自</w:t>
      </w:r>
      <w:r>
        <w:rPr>
          <w:rFonts w:cs="Times New Roman" w:hint="eastAsia" w:ascii="宋体" w:hAnsi="宋体"/>
          <w:color w:val="000000"/>
          <w:kern w:val="2"/>
          <w:szCs w:val="32"/>
        </w:rPr>
        <w:t>2018</w:t>
      </w:r>
      <w:r>
        <w:rPr>
          <w:rFonts w:ascii="宋体" w:hAnsi="宋体" w:cs="Times New Roman" w:hint="eastAsia"/>
          <w:color w:val="000000"/>
          <w:kern w:val="2"/>
          <w:szCs w:val="32"/>
        </w:rPr>
        <w:t>年</w:t>
      </w:r>
      <w:r>
        <w:rPr>
          <w:rFonts w:cs="Times New Roman" w:hint="eastAsia" w:ascii="宋体" w:hAnsi="宋体"/>
          <w:color w:val="000000"/>
          <w:kern w:val="2"/>
          <w:szCs w:val="32"/>
        </w:rPr>
        <w:t>3</w:t>
      </w:r>
      <w:r>
        <w:rPr>
          <w:rFonts w:ascii="宋体" w:hAnsi="宋体" w:cs="Times New Roman" w:hint="eastAsia"/>
          <w:color w:val="000000"/>
          <w:kern w:val="2"/>
          <w:szCs w:val="32"/>
        </w:rPr>
        <w:t>月</w:t>
      </w:r>
      <w:r>
        <w:rPr>
          <w:rFonts w:cs="Times New Roman" w:hint="eastAsia" w:ascii="宋体" w:hAnsi="宋体"/>
          <w:color w:val="000000"/>
          <w:kern w:val="2"/>
          <w:szCs w:val="32"/>
        </w:rPr>
        <w:t>1</w:t>
      </w:r>
      <w:r>
        <w:rPr>
          <w:rFonts w:ascii="宋体" w:hAnsi="宋体" w:cs="Times New Roman" w:hint="eastAsia"/>
          <w:color w:val="000000"/>
          <w:kern w:val="2"/>
          <w:szCs w:val="32"/>
        </w:rPr>
        <w:t>日起施行。</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 w:name="黑体">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1"/>
    <w:qFormat/>
    <w:pPr>
      <w:widowControl w:val="false"/>
      <w:bidi w:val="0"/>
      <w:jc w:val="both"/>
    </w:pPr>
    <w:rPr>
      <w:rFonts w:ascii="等线;宋体" w:hAnsi="等线;宋体" w:eastAsia="仿宋_GB2312" w:cs="Times New Roman"/>
      <w:color w:val="auto"/>
      <w:kern w:val="2"/>
      <w:sz w:val="32"/>
      <w:szCs w:val="3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next w:val="Normal"/>
    <w:qFormat/>
    <w:pPr>
      <w:ind w:firstLineChars="200" w:startChars="0" w:start="0" w:endChars="0" w:end="0"/>
    </w:pPr>
    <w:rPr>
      <w:rFonts w:ascii="Calibri" w:hAnsi="Calibri" w:eastAsia="宋体" w:cs="Times New Roman"/>
    </w:rPr>
  </w:style>
  <w:style w:type="paragraph" w:styleId="1">
    <w:name w:val="正文缩进1"/>
    <w:qFormat/>
    <w:pPr>
      <w:widowControl w:val="false"/>
      <w:bidi w:val="0"/>
      <w:ind w:firstLineChars="200" w:startChars="0" w:start="0" w:endChars="0" w:end="0"/>
      <w:jc w:val="both"/>
    </w:pPr>
    <w:rPr>
      <w:rFonts w:ascii="Calibri" w:hAnsi="Calibri" w:eastAsia="宋体" w:cs="Times New Roman"/>
      <w:color w:val="auto"/>
      <w:kern w:val="2"/>
      <w:sz w:val="21"/>
      <w:szCs w:val="21"/>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2021-10-27T20:09:00Z</dcterms:created>
  <dc:creator>谢浩然</dc:creator>
  <dc:description/>
  <dc:language>en-US</dc:language>
  <cp:lastModifiedBy>谢浩然</cp:lastModifiedBy>
  <dcterms:modified xsi:type="dcterms:W3CDTF">2021-10-27T20:09:32Z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