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hint="eastAsia"/>
        </w:rPr>
      </w:pPr>
      <w:r>
        <w:rPr>
          <w:rFonts w:eastAsia="方正小标宋简体" w:cs="方正小标宋简体" w:hint="eastAsia" w:ascii="方正小标宋简体" w:hAnsi="方正小标宋简体"/>
          <w:bCs/>
          <w:sz w:val="44"/>
          <w:szCs w:val="44"/>
        </w:rPr>
        <w:t xml:space="preserve"> </w:t>
      </w:r>
    </w:p>
    <w:p>
      <w:pPr>
        <w:pStyle w:val="Normal"/>
        <w:spacing w:lineRule="exact" w:line="590"/>
        <w:jc w:val="center"/>
        <w:rPr>
          <w:rFonts w:ascii="宋体" w:hAnsi="宋体" w:eastAsia="宋体" w:cs="方正小标宋简体" w:hint="eastAsia"/>
          <w:bCs/>
          <w:sz w:val="44"/>
          <w:szCs w:val="44"/>
        </w:rPr>
      </w:pPr>
      <w:r>
        <w:rPr>
          <w:rFonts w:eastAsia="宋体" w:cs="方正小标宋简体" w:hint="eastAsia" w:ascii="宋体" w:hAnsi="宋体"/>
          <w:bCs/>
          <w:sz w:val="44"/>
          <w:szCs w:val="44"/>
        </w:rPr>
      </w:r>
    </w:p>
    <w:p>
      <w:pPr>
        <w:pStyle w:val="Normal"/>
        <w:spacing w:lineRule="exact" w:line="590"/>
        <w:jc w:val="center"/>
        <w:rPr>
          <w:rFonts w:ascii="宋体" w:hAnsi="宋体" w:eastAsia="宋体" w:cs="方正小标宋简体" w:hint="eastAsia"/>
          <w:bCs/>
          <w:sz w:val="44"/>
          <w:szCs w:val="44"/>
        </w:rPr>
      </w:pPr>
      <w:r>
        <w:rPr>
          <w:rFonts w:ascii="宋体" w:hAnsi="宋体" w:cs="方正小标宋简体"/>
          <w:bCs/>
          <w:sz w:val="44"/>
          <w:szCs w:val="44"/>
        </w:rPr>
        <w:t>珠海经济特区</w:t>
      </w:r>
      <w:r>
        <w:rPr>
          <w:rFonts w:ascii="宋体" w:hAnsi="宋体" w:cs="方正小标宋简体" w:hint="eastAsia"/>
          <w:bCs/>
          <w:sz w:val="44"/>
          <w:szCs w:val="44"/>
        </w:rPr>
        <w:t>工业用地控制线管理规定</w:t>
      </w:r>
    </w:p>
    <w:p>
      <w:pPr>
        <w:pStyle w:val="Normal"/>
        <w:spacing w:lineRule="exact" w:line="590"/>
        <w:jc w:val="center"/>
        <w:rPr>
          <w:rFonts w:ascii="楷体_GB2312" w:hAnsi="楷体_GB2312" w:eastAsia="楷体_GB2312" w:cs="方正小标宋简体" w:hint="eastAsia"/>
          <w:bCs/>
          <w:sz w:val="32"/>
          <w:szCs w:val="32"/>
        </w:rPr>
      </w:pPr>
      <w:r>
        <w:rPr>
          <w:rFonts w:eastAsia="楷体_GB2312" w:cs="方正小标宋简体" w:hint="eastAsia" w:ascii="楷体_GB2312" w:hAnsi="楷体_GB2312"/>
          <w:bCs/>
          <w:sz w:val="32"/>
          <w:szCs w:val="32"/>
        </w:rPr>
      </w:r>
    </w:p>
    <w:p>
      <w:pPr>
        <w:pStyle w:val="Normal"/>
        <w:spacing w:lineRule="exact" w:line="590"/>
        <w:jc w:val="center"/>
        <w:rPr>
          <w:rFonts w:ascii="楷体_GB2312" w:hAnsi="楷体_GB2312" w:eastAsia="楷体_GB2312" w:hint="eastAsia"/>
          <w:sz w:val="32"/>
          <w:szCs w:val="32"/>
        </w:rPr>
      </w:pPr>
      <w:r>
        <w:rPr>
          <w:rFonts w:ascii="楷体_GB2312" w:hAnsi="楷体_GB2312" w:hint="eastAsia" w:eastAsia="楷体_GB2312"/>
          <w:b w:val="false"/>
          <w:sz w:val="32"/>
          <w:szCs w:val="32"/>
        </w:rPr>
        <w:t>（</w:t>
      </w:r>
      <w:r>
        <w:rPr>
          <w:rFonts w:eastAsia="楷体_GB2312" w:hint="eastAsia" w:ascii="楷体_GB2312" w:hAnsi="楷体_GB2312"/>
          <w:b w:val="false"/>
          <w:sz w:val="32"/>
          <w:szCs w:val="32"/>
        </w:rPr>
        <w:t>2022</w:t>
      </w:r>
      <w:r>
        <w:rPr>
          <w:rFonts w:ascii="楷体_GB2312" w:hAnsi="楷体_GB2312" w:hint="eastAsia" w:eastAsia="楷体_GB2312"/>
          <w:b w:val="false"/>
          <w:sz w:val="32"/>
          <w:szCs w:val="32"/>
        </w:rPr>
        <w:t>年</w:t>
      </w:r>
      <w:r>
        <w:rPr>
          <w:rFonts w:eastAsia="楷体_GB2312" w:hint="eastAsia" w:ascii="楷体_GB2312" w:hAnsi="楷体_GB2312"/>
          <w:b w:val="false"/>
          <w:sz w:val="32"/>
          <w:szCs w:val="32"/>
        </w:rPr>
        <w:t>4</w:t>
      </w:r>
      <w:r>
        <w:rPr>
          <w:rFonts w:ascii="楷体_GB2312" w:hAnsi="楷体_GB2312" w:hint="eastAsia" w:eastAsia="楷体_GB2312"/>
          <w:b w:val="false"/>
          <w:sz w:val="32"/>
          <w:szCs w:val="32"/>
        </w:rPr>
        <w:t>月</w:t>
      </w:r>
      <w:r>
        <w:rPr>
          <w:rFonts w:eastAsia="楷体_GB2312" w:hint="eastAsia" w:ascii="楷体_GB2312" w:hAnsi="楷体_GB2312"/>
          <w:b w:val="false"/>
          <w:sz w:val="32"/>
          <w:szCs w:val="32"/>
        </w:rPr>
        <w:t>29</w:t>
      </w:r>
      <w:r>
        <w:rPr>
          <w:rFonts w:ascii="楷体_GB2312" w:hAnsi="楷体_GB2312" w:hint="eastAsia" w:eastAsia="楷体_GB2312"/>
          <w:b w:val="false"/>
          <w:sz w:val="32"/>
          <w:szCs w:val="32"/>
        </w:rPr>
        <w:t>日珠海市第十届人民代表大会常务委员会</w:t>
      </w:r>
    </w:p>
    <w:p>
      <w:pPr>
        <w:pStyle w:val="Normal"/>
        <w:spacing w:lineRule="exact" w:line="590"/>
        <w:jc w:val="center"/>
        <w:rPr>
          <w:rFonts w:ascii="楷体_GB2312" w:hAnsi="楷体_GB2312" w:eastAsia="楷体_GB2312" w:hint="eastAsia"/>
          <w:bCs/>
          <w:sz w:val="36"/>
          <w:szCs w:val="36"/>
        </w:rPr>
      </w:pPr>
      <w:r>
        <w:rPr>
          <w:rFonts w:ascii="楷体_GB2312" w:hAnsi="楷体_GB2312" w:hint="eastAsia" w:eastAsia="楷体_GB2312"/>
          <w:b w:val="false"/>
          <w:sz w:val="32"/>
          <w:szCs w:val="32"/>
        </w:rPr>
        <w:t>第四次会议通过）</w:t>
      </w:r>
    </w:p>
    <w:p>
      <w:pPr>
        <w:pStyle w:val="Normal"/>
        <w:spacing w:lineRule="exact" w:line="590"/>
        <w:rPr>
          <w:rFonts w:ascii="楷体_GB2312" w:hAnsi="楷体_GB2312" w:eastAsia="楷体_GB2312" w:hint="eastAsia"/>
          <w:bCs/>
          <w:sz w:val="32"/>
          <w:szCs w:val="32"/>
        </w:rPr>
      </w:pPr>
      <w:r>
        <w:rPr>
          <w:rFonts w:eastAsia="楷体_GB2312" w:hint="eastAsia" w:ascii="楷体_GB2312" w:hAnsi="楷体_GB2312"/>
          <w:bCs/>
          <w:sz w:val="32"/>
          <w:szCs w:val="32"/>
        </w:rPr>
      </w:r>
    </w:p>
    <w:p>
      <w:pPr>
        <w:pStyle w:val="Normal"/>
        <w:spacing w:lineRule="exact" w:line="590"/>
        <w:ind w:firstLineChars="200" w:startChars="0" w:start="0" w:endChars="0" w:end="0"/>
        <w:rPr>
          <w:rFonts w:eastAsia="仿宋"/>
          <w:kern w:val="0"/>
          <w:sz w:val="32"/>
          <w:szCs w:val="32"/>
        </w:rPr>
      </w:pPr>
      <w:r>
        <w:rPr>
          <w:rFonts w:eastAsia="CESI黑体-GB13000;黑体"/>
          <w:sz w:val="32"/>
          <w:szCs w:val="32"/>
        </w:rPr>
        <w:t xml:space="preserve">第一条  </w:t>
      </w:r>
      <w:r>
        <w:rPr>
          <w:rFonts w:eastAsia="仿宋_GB2312"/>
          <w:bCs/>
          <w:color w:val="000000"/>
          <w:sz w:val="32"/>
          <w:szCs w:val="32"/>
        </w:rPr>
        <w:t>为加强全市工业用地控制线管理，保障工业发展空间，推动产业高质量发展，根据相关法律和行政法规的基本原则，结合珠海经济特区实际，制定本规定。</w:t>
      </w:r>
    </w:p>
    <w:p>
      <w:pPr>
        <w:pStyle w:val="Normal"/>
        <w:spacing w:lineRule="exact" w:line="590"/>
        <w:ind w:firstLineChars="200" w:startChars="0" w:start="0" w:endChars="0" w:end="0"/>
        <w:rPr>
          <w:rFonts w:eastAsia="仿宋"/>
          <w:kern w:val="0"/>
          <w:sz w:val="32"/>
          <w:szCs w:val="32"/>
        </w:rPr>
      </w:pPr>
      <w:r>
        <w:rPr>
          <w:rFonts w:eastAsia="CESI黑体-GB13000;黑体"/>
          <w:sz w:val="32"/>
          <w:szCs w:val="32"/>
        </w:rPr>
        <w:t xml:space="preserve">第二条  </w:t>
      </w:r>
      <w:r>
        <w:rPr>
          <w:rFonts w:eastAsia="仿宋_GB2312"/>
          <w:bCs/>
          <w:color w:val="000000"/>
          <w:sz w:val="32"/>
          <w:szCs w:val="32"/>
        </w:rPr>
        <w:t>本规定适用于本市工业用地控制线的划定、调整和监督管理工作。</w:t>
      </w:r>
    </w:p>
    <w:p>
      <w:pPr>
        <w:pStyle w:val="Normal"/>
        <w:spacing w:lineRule="exact" w:line="590"/>
        <w:ind w:firstLineChars="200" w:startChars="0" w:start="0" w:endChars="0" w:end="0"/>
        <w:rPr>
          <w:rFonts w:eastAsia="仿宋"/>
          <w:kern w:val="0"/>
          <w:sz w:val="32"/>
          <w:szCs w:val="32"/>
        </w:rPr>
      </w:pPr>
      <w:r>
        <w:rPr>
          <w:rFonts w:eastAsia="CESI黑体-GB13000;黑体"/>
          <w:sz w:val="32"/>
          <w:szCs w:val="32"/>
        </w:rPr>
        <w:t xml:space="preserve">第三条  </w:t>
      </w:r>
      <w:r>
        <w:rPr>
          <w:rFonts w:eastAsia="仿宋_GB2312"/>
          <w:bCs/>
          <w:color w:val="000000"/>
          <w:sz w:val="32"/>
          <w:szCs w:val="32"/>
        </w:rPr>
        <w:t>本规定所称工业用地控制线是指为保障本市工业用地总规模，支撑工业发展、产业集聚，需要特殊保护、严格管理的区域范围界线。</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本规定所称工业用地包括普通工业用地、新型产业用地和物流仓储用地，不含村集体留用地</w:t>
      </w:r>
      <w:r>
        <w:rPr>
          <w:rFonts w:eastAsia="仿宋_GB2312"/>
          <w:bCs/>
          <w:sz w:val="32"/>
          <w:szCs w:val="32"/>
        </w:rPr>
        <w:t>中的上述用地</w:t>
      </w:r>
      <w:r>
        <w:rPr>
          <w:rFonts w:eastAsia="仿宋_GB2312"/>
          <w:bCs/>
          <w:color w:val="000000"/>
          <w:sz w:val="32"/>
          <w:szCs w:val="32"/>
        </w:rPr>
        <w:t>。</w:t>
      </w:r>
    </w:p>
    <w:p>
      <w:pPr>
        <w:pStyle w:val="Normal"/>
        <w:spacing w:lineRule="exact" w:line="590"/>
        <w:ind w:firstLineChars="200" w:startChars="0" w:start="0" w:endChars="0" w:end="0"/>
        <w:rPr>
          <w:rFonts w:eastAsia="仿宋"/>
          <w:kern w:val="0"/>
          <w:sz w:val="32"/>
          <w:szCs w:val="32"/>
        </w:rPr>
      </w:pPr>
      <w:r>
        <w:rPr>
          <w:rFonts w:eastAsia="CESI黑体-GB13000;黑体"/>
          <w:sz w:val="32"/>
          <w:szCs w:val="32"/>
        </w:rPr>
        <w:t xml:space="preserve">第四条  </w:t>
      </w:r>
      <w:r>
        <w:rPr>
          <w:rFonts w:eastAsia="仿宋_GB2312"/>
          <w:bCs/>
          <w:color w:val="000000"/>
          <w:sz w:val="32"/>
          <w:szCs w:val="32"/>
        </w:rPr>
        <w:t>工业用地控制线是全市国土空间总体规划的组成部分，是全市工业用地规划建设管理的依据。</w:t>
      </w:r>
    </w:p>
    <w:p>
      <w:pPr>
        <w:pStyle w:val="Normal"/>
        <w:spacing w:lineRule="exact" w:line="590"/>
        <w:ind w:firstLineChars="200" w:startChars="0" w:start="0" w:endChars="0" w:end="0"/>
        <w:rPr>
          <w:rFonts w:eastAsia="仿宋"/>
          <w:kern w:val="0"/>
          <w:sz w:val="32"/>
          <w:szCs w:val="32"/>
        </w:rPr>
      </w:pPr>
      <w:r>
        <w:rPr>
          <w:rFonts w:eastAsia="CESI黑体-GB13000;黑体"/>
          <w:sz w:val="32"/>
          <w:szCs w:val="32"/>
        </w:rPr>
        <w:t xml:space="preserve">第五条  </w:t>
      </w:r>
      <w:r>
        <w:rPr>
          <w:rFonts w:eastAsia="仿宋_GB2312"/>
          <w:bCs/>
          <w:color w:val="000000"/>
          <w:sz w:val="32"/>
          <w:szCs w:val="32"/>
        </w:rPr>
        <w:t>工业用地控制线管理应当遵循总量控制、严守底线、分类定策、提质增效的原则。</w:t>
      </w:r>
    </w:p>
    <w:p>
      <w:pPr>
        <w:pStyle w:val="Normal"/>
        <w:spacing w:lineRule="exact" w:line="590"/>
        <w:ind w:firstLineChars="200" w:startChars="0" w:start="0" w:endChars="0" w:end="0"/>
        <w:rPr>
          <w:rFonts w:eastAsia="仿宋_GB2312"/>
          <w:bCs/>
          <w:color w:val="000000"/>
          <w:sz w:val="32"/>
          <w:szCs w:val="32"/>
        </w:rPr>
      </w:pPr>
      <w:r>
        <w:rPr>
          <w:rFonts w:eastAsia="CESI黑体-GB13000;黑体"/>
          <w:sz w:val="32"/>
          <w:szCs w:val="32"/>
        </w:rPr>
        <w:t xml:space="preserve">第六条  </w:t>
      </w:r>
      <w:r>
        <w:rPr>
          <w:rFonts w:eastAsia="仿宋_GB2312"/>
          <w:bCs/>
          <w:color w:val="000000"/>
          <w:sz w:val="32"/>
          <w:szCs w:val="32"/>
        </w:rPr>
        <w:t>市自然资源主管部门负责全市工业用地控制线的统筹划定和规划管理等相关工作。</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工业和信息化主管部门、商务主管部门、招商主管部门负责工业用地控制线内产业准入、产业退出及产业发展等相关工作。</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发展和改革、生态环境、住房和城乡建设、城市管理和综合执法等部门根据各自职责共同做好相关监管和服务工作。</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区人民政府（以下简称区政府）负责辖区内工业用地控制线的日常维护管理、项目引进和产业监管等相关工作。</w:t>
      </w:r>
    </w:p>
    <w:p>
      <w:pPr>
        <w:pStyle w:val="Normal"/>
        <w:spacing w:lineRule="exact" w:line="590"/>
        <w:ind w:firstLineChars="200" w:startChars="0" w:start="0" w:endChars="0" w:end="0"/>
        <w:rPr>
          <w:rFonts w:eastAsia="仿宋"/>
          <w:kern w:val="0"/>
          <w:sz w:val="32"/>
          <w:szCs w:val="32"/>
        </w:rPr>
      </w:pPr>
      <w:r>
        <w:rPr>
          <w:rFonts w:eastAsia="仿宋_GB2312"/>
          <w:bCs/>
          <w:color w:val="000000"/>
          <w:sz w:val="32"/>
          <w:szCs w:val="32"/>
        </w:rPr>
        <w:t>经济功能区管理机构履行区政府工业用地控制线管理相应的职责。</w:t>
      </w:r>
    </w:p>
    <w:p>
      <w:pPr>
        <w:pStyle w:val="Normal"/>
        <w:spacing w:lineRule="exact" w:line="590"/>
        <w:ind w:firstLineChars="200" w:startChars="0" w:start="0" w:endChars="0" w:end="0"/>
        <w:rPr>
          <w:rFonts w:eastAsia="仿宋_GB2312"/>
          <w:bCs/>
          <w:color w:val="000000"/>
          <w:sz w:val="32"/>
          <w:szCs w:val="32"/>
        </w:rPr>
      </w:pPr>
      <w:r>
        <w:rPr>
          <w:rFonts w:eastAsia="CESI黑体-GB13000;黑体"/>
          <w:sz w:val="32"/>
          <w:szCs w:val="32"/>
        </w:rPr>
        <w:t xml:space="preserve">第七条  </w:t>
      </w:r>
      <w:r>
        <w:rPr>
          <w:rFonts w:eastAsia="仿宋_GB2312"/>
          <w:bCs/>
          <w:color w:val="000000"/>
          <w:sz w:val="32"/>
          <w:szCs w:val="32"/>
        </w:rPr>
        <w:t>本市工业用地控制线分为一级控制线和二级控制线。</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一级控制线是符合市级国土空间总体规划的工业用地范围线，包括已供应工业用地以及规划新增工业用地中用于工业用途的土地。</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二级控制线是以工业为主导功能的区域范围线，包括全市所有已供应工业用地，符合市级国土空间总体规划未供应的新增工业用地，为工业园区配套的公共服务、市政公用、环保、道路交通设施、绿地与广场用地等。</w:t>
      </w:r>
    </w:p>
    <w:p>
      <w:pPr>
        <w:pStyle w:val="Normal"/>
        <w:spacing w:lineRule="exact" w:line="590"/>
        <w:ind w:firstLineChars="200" w:startChars="0" w:start="0" w:endChars="0" w:end="0"/>
        <w:rPr>
          <w:rFonts w:eastAsia="仿宋"/>
          <w:kern w:val="0"/>
          <w:sz w:val="32"/>
          <w:szCs w:val="32"/>
        </w:rPr>
      </w:pPr>
      <w:r>
        <w:rPr>
          <w:rFonts w:eastAsia="仿宋_GB2312"/>
          <w:bCs/>
          <w:color w:val="000000"/>
          <w:sz w:val="32"/>
          <w:szCs w:val="32"/>
        </w:rPr>
        <w:t>二级控制线包含一级控制线。</w:t>
      </w:r>
    </w:p>
    <w:p>
      <w:pPr>
        <w:pStyle w:val="Normal"/>
        <w:spacing w:lineRule="exact" w:line="590"/>
        <w:ind w:firstLineChars="200" w:startChars="0" w:start="0" w:endChars="0" w:end="0"/>
        <w:rPr>
          <w:rFonts w:ascii="仿宋_GB2312" w:hAnsi="仿宋_GB2312" w:eastAsia="仿宋_GB2312" w:hint="eastAsia"/>
          <w:b/>
          <w:bCs/>
          <w:kern w:val="0"/>
          <w:sz w:val="32"/>
          <w:szCs w:val="32"/>
        </w:rPr>
      </w:pPr>
      <w:r>
        <w:rPr>
          <w:rFonts w:eastAsia="CESI黑体-GB13000;黑体"/>
          <w:sz w:val="32"/>
          <w:szCs w:val="32"/>
        </w:rPr>
        <w:t xml:space="preserve">第八条  </w:t>
      </w:r>
      <w:r>
        <w:rPr>
          <w:rFonts w:ascii="仿宋_GB2312" w:hAnsi="仿宋_GB2312" w:hint="eastAsia" w:eastAsia="仿宋_GB2312"/>
          <w:bCs/>
          <w:color w:val="000000"/>
          <w:sz w:val="32"/>
          <w:szCs w:val="32"/>
        </w:rPr>
        <w:t>工业用地总量应当确保工业发展规划的需要。全市工业用地控制线范围内的总用地面积不得低于全市规划建设用地总面积的</w:t>
      </w:r>
      <w:r>
        <w:rPr>
          <w:rFonts w:eastAsia="仿宋_GB2312" w:hint="eastAsia" w:ascii="仿宋_GB2312" w:hAnsi="仿宋_GB2312"/>
          <w:bCs/>
          <w:color w:val="000000"/>
          <w:sz w:val="32"/>
          <w:szCs w:val="32"/>
        </w:rPr>
        <w:t>30%</w:t>
      </w:r>
      <w:r>
        <w:rPr>
          <w:rFonts w:ascii="仿宋_GB2312" w:hAnsi="仿宋_GB2312" w:hint="eastAsia" w:eastAsia="仿宋_GB2312"/>
          <w:bCs/>
          <w:color w:val="000000"/>
          <w:sz w:val="32"/>
          <w:szCs w:val="32"/>
        </w:rPr>
        <w:t>，其中工业用地面积不得低于工业用地控制线范围内的总用地面积的</w:t>
      </w:r>
      <w:r>
        <w:rPr>
          <w:rFonts w:eastAsia="仿宋_GB2312" w:hint="eastAsia" w:ascii="仿宋_GB2312" w:hAnsi="仿宋_GB2312"/>
          <w:bCs/>
          <w:color w:val="000000"/>
          <w:sz w:val="32"/>
          <w:szCs w:val="32"/>
        </w:rPr>
        <w:t>75%</w:t>
      </w:r>
      <w:r>
        <w:rPr>
          <w:rFonts w:ascii="仿宋_GB2312" w:hAnsi="仿宋_GB2312" w:hint="eastAsia" w:eastAsia="仿宋_GB2312"/>
          <w:bCs/>
          <w:color w:val="000000"/>
          <w:sz w:val="32"/>
          <w:szCs w:val="32"/>
        </w:rPr>
        <w:t>。</w:t>
      </w:r>
    </w:p>
    <w:p>
      <w:pPr>
        <w:pStyle w:val="Normal"/>
        <w:spacing w:lineRule="exact" w:line="590"/>
        <w:ind w:firstLineChars="200" w:startChars="0" w:start="0" w:endChars="0" w:end="0"/>
        <w:rPr>
          <w:rFonts w:eastAsia="仿宋"/>
          <w:spacing w:val="-6"/>
          <w:kern w:val="0"/>
          <w:sz w:val="32"/>
          <w:szCs w:val="32"/>
        </w:rPr>
      </w:pPr>
      <w:r>
        <w:rPr>
          <w:rFonts w:eastAsia="CESI黑体-GB13000;黑体"/>
          <w:sz w:val="32"/>
          <w:szCs w:val="32"/>
        </w:rPr>
        <w:t xml:space="preserve">第九条  </w:t>
      </w:r>
      <w:r>
        <w:rPr>
          <w:rFonts w:eastAsia="仿宋_GB2312"/>
          <w:bCs/>
          <w:color w:val="000000"/>
          <w:spacing w:val="-6"/>
          <w:sz w:val="32"/>
          <w:szCs w:val="32"/>
        </w:rPr>
        <w:t>工业用地控制线由市人民政府（以下简称市政府）组织划定，具体工作由市自然资源主管部门负责，并遵循下列程序：</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（一）会同市工业和信息化主管部门、市商务主管部门、市招商主管部门根据市级国土空间总体规划要求和全市工业经济发展规划计划，提出划定建议并征求各区政府的意见；</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（二）组织编制划定全市工业用地控制线方案；</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（三）组织专家对全市工业用地控制线方案进行科学论证，形成工业用地控制线划定草案；</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（四）向社会公示征求意见，公示期不得少于</w:t>
      </w:r>
      <w:r>
        <w:rPr>
          <w:rFonts w:eastAsia="仿宋_GB2312" w:hint="eastAsia" w:ascii="仿宋_GB2312" w:hAnsi="仿宋_GB2312"/>
          <w:bCs/>
          <w:color w:val="000000"/>
          <w:sz w:val="32"/>
          <w:szCs w:val="32"/>
        </w:rPr>
        <w:t>30</w:t>
      </w:r>
      <w:r>
        <w:rPr>
          <w:rFonts w:eastAsia="仿宋_GB2312"/>
          <w:bCs/>
          <w:color w:val="000000"/>
          <w:sz w:val="32"/>
          <w:szCs w:val="32"/>
        </w:rPr>
        <w:t>日；</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（五）对专家和公众意见进行研究并及时予以反馈。</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工业用地控制线经市政府批准后公布实施。</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根据国民经济社会发展情况和国土空间总体规划要求，结合全市工业发展实际，市政府原则上每五年对工业用地控制线进行整体评估，确有必要并经严格审批方可对工业用地控制线划定进行修编。</w:t>
      </w:r>
    </w:p>
    <w:p>
      <w:pPr>
        <w:pStyle w:val="Normal"/>
        <w:spacing w:lineRule="exact" w:line="590"/>
        <w:ind w:firstLineChars="200" w:startChars="0" w:start="0" w:endChars="0" w:end="0"/>
        <w:rPr>
          <w:rFonts w:eastAsia="仿宋_GB2312"/>
          <w:bCs/>
          <w:color w:val="000000"/>
          <w:sz w:val="32"/>
          <w:szCs w:val="32"/>
        </w:rPr>
      </w:pPr>
      <w:r>
        <w:rPr>
          <w:rFonts w:eastAsia="CESI黑体-GB13000;黑体"/>
          <w:sz w:val="32"/>
          <w:szCs w:val="32"/>
        </w:rPr>
        <w:t xml:space="preserve">第十条  </w:t>
      </w:r>
      <w:r>
        <w:rPr>
          <w:rFonts w:eastAsia="仿宋_GB2312"/>
          <w:bCs/>
          <w:color w:val="000000"/>
          <w:sz w:val="32"/>
          <w:szCs w:val="32"/>
        </w:rPr>
        <w:t>一级控制线内的工业用地应当特殊保护、严格管理，除本规定第十三条规定的情形外，不得改变土地用途或者调出一级控制线区域范围。</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除本规定第十四条第（四）项情形外，工业用地控制线内已供应工业用地的用地单位不得申请改变土地用途或者调出控制线区域范围。</w:t>
      </w:r>
    </w:p>
    <w:p>
      <w:pPr>
        <w:pStyle w:val="Normal"/>
        <w:spacing w:lineRule="exact" w:line="590"/>
        <w:ind w:firstLineChars="200" w:startChars="0" w:start="0" w:endChars="0" w:end="0"/>
        <w:rPr>
          <w:rFonts w:eastAsia="CESI黑体-GB13000;黑体"/>
          <w:sz w:val="32"/>
          <w:szCs w:val="32"/>
        </w:rPr>
      </w:pPr>
      <w:r>
        <w:rPr>
          <w:rFonts w:eastAsia="仿宋_GB2312"/>
          <w:bCs/>
          <w:color w:val="000000"/>
          <w:sz w:val="32"/>
          <w:szCs w:val="32"/>
        </w:rPr>
        <w:t>工业用地控制线内的城市更新项目，禁止将工业用地改为商业用地或者居住用地。</w:t>
      </w:r>
    </w:p>
    <w:p>
      <w:pPr>
        <w:pStyle w:val="Normal"/>
        <w:spacing w:lineRule="exact" w:line="590"/>
        <w:ind w:firstLineChars="200" w:startChars="0" w:start="0" w:endChars="0" w:end="0"/>
        <w:rPr>
          <w:rFonts w:eastAsia="仿宋"/>
          <w:kern w:val="0"/>
          <w:sz w:val="32"/>
          <w:szCs w:val="32"/>
        </w:rPr>
      </w:pPr>
      <w:r>
        <w:rPr>
          <w:rFonts w:eastAsia="CESI黑体-GB13000;黑体"/>
          <w:sz w:val="32"/>
          <w:szCs w:val="32"/>
        </w:rPr>
        <w:t xml:space="preserve">第十一条  </w:t>
      </w:r>
      <w:r>
        <w:rPr>
          <w:rFonts w:eastAsia="仿宋_GB2312"/>
          <w:bCs/>
          <w:color w:val="000000"/>
          <w:sz w:val="32"/>
          <w:szCs w:val="32"/>
        </w:rPr>
        <w:t>支持在二级控制线内、一级控制线外集中配套建设各类服务设施，用地应当优先保障工业园区配套的公共服务、市政公用、环保、道路交通设施、绿地与广场。</w:t>
      </w:r>
    </w:p>
    <w:p>
      <w:pPr>
        <w:pStyle w:val="Normal"/>
        <w:spacing w:lineRule="exact" w:line="590"/>
        <w:ind w:firstLineChars="200" w:startChars="0" w:start="0" w:endChars="0" w:end="0"/>
        <w:rPr>
          <w:rFonts w:eastAsia="仿宋"/>
          <w:kern w:val="0"/>
          <w:sz w:val="32"/>
          <w:szCs w:val="32"/>
        </w:rPr>
      </w:pPr>
      <w:r>
        <w:rPr>
          <w:rFonts w:eastAsia="CESI黑体-GB13000;黑体"/>
          <w:sz w:val="32"/>
          <w:szCs w:val="32"/>
        </w:rPr>
        <w:t xml:space="preserve">第十二条  </w:t>
      </w:r>
      <w:r>
        <w:rPr>
          <w:rFonts w:eastAsia="仿宋_GB2312"/>
          <w:bCs/>
          <w:color w:val="000000"/>
          <w:sz w:val="32"/>
          <w:szCs w:val="32"/>
        </w:rPr>
        <w:t>工业用地应当科学布局，集中纳入大型产业园区、小型产业集聚区等多样化的产业空间载体，促进多层级的产城融合。</w:t>
      </w:r>
    </w:p>
    <w:p>
      <w:pPr>
        <w:pStyle w:val="Normal"/>
        <w:spacing w:lineRule="exact" w:line="590"/>
        <w:ind w:firstLineChars="200" w:startChars="0" w:start="0" w:endChars="0" w:end="0"/>
        <w:rPr>
          <w:rFonts w:eastAsia="仿宋_GB2312"/>
          <w:bCs/>
          <w:color w:val="000000"/>
          <w:sz w:val="32"/>
          <w:szCs w:val="32"/>
        </w:rPr>
      </w:pPr>
      <w:r>
        <w:rPr>
          <w:rFonts w:eastAsia="CESI黑体-GB13000;黑体"/>
          <w:sz w:val="32"/>
          <w:szCs w:val="32"/>
        </w:rPr>
        <w:t xml:space="preserve">第十三条  </w:t>
      </w:r>
      <w:r>
        <w:rPr>
          <w:rFonts w:eastAsia="仿宋_GB2312"/>
          <w:bCs/>
          <w:color w:val="000000"/>
          <w:sz w:val="32"/>
          <w:szCs w:val="32"/>
        </w:rPr>
        <w:t>除以下情形外，一级控制线不得调整：</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（一）市级国土空间总体规划发生变更的；</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（二）市级及以上重大基础设施建设需要的；</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（三）依法纳入政府储备用地的。</w:t>
      </w:r>
    </w:p>
    <w:p>
      <w:pPr>
        <w:pStyle w:val="Normal"/>
        <w:spacing w:lineRule="exact" w:line="590"/>
        <w:ind w:firstLineChars="200" w:startChars="0" w:start="0" w:endChars="0" w:end="0"/>
        <w:rPr>
          <w:rFonts w:eastAsia="仿宋"/>
          <w:kern w:val="0"/>
          <w:sz w:val="32"/>
          <w:szCs w:val="32"/>
        </w:rPr>
      </w:pPr>
      <w:r>
        <w:rPr>
          <w:rFonts w:eastAsia="仿宋_GB2312"/>
          <w:bCs/>
          <w:color w:val="000000"/>
          <w:sz w:val="32"/>
          <w:szCs w:val="32"/>
        </w:rPr>
        <w:t>依照前款规定进行调整的，应当做到规模总量占补平衡、用地质量提升。</w:t>
      </w:r>
    </w:p>
    <w:p>
      <w:pPr>
        <w:pStyle w:val="Normal"/>
        <w:spacing w:lineRule="exact" w:line="590"/>
        <w:ind w:firstLineChars="200" w:startChars="0" w:start="0" w:endChars="0" w:end="0"/>
        <w:rPr>
          <w:rFonts w:eastAsia="仿宋_GB2312"/>
          <w:bCs/>
          <w:color w:val="000000"/>
          <w:sz w:val="32"/>
          <w:szCs w:val="32"/>
        </w:rPr>
      </w:pPr>
      <w:r>
        <w:rPr>
          <w:rFonts w:eastAsia="CESI黑体-GB13000;黑体"/>
          <w:sz w:val="32"/>
          <w:szCs w:val="32"/>
        </w:rPr>
        <w:t xml:space="preserve">第十四条  </w:t>
      </w:r>
      <w:r>
        <w:rPr>
          <w:rFonts w:eastAsia="仿宋_GB2312"/>
          <w:bCs/>
          <w:color w:val="000000"/>
          <w:sz w:val="32"/>
          <w:szCs w:val="32"/>
        </w:rPr>
        <w:t>具有以下情形的，可依法调整二级控制线：</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（一）市级国土空间总体规划发生变更的；</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（二）市级及以上重大基础设施建设需要的；</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（三）依法纳入政府储备用地的；</w:t>
      </w:r>
    </w:p>
    <w:p>
      <w:pPr>
        <w:pStyle w:val="Normal"/>
        <w:spacing w:lineRule="exact" w:line="590"/>
        <w:ind w:firstLineChars="200" w:startChars="0" w:start="0" w:endChars="0" w:end="0"/>
        <w:rPr>
          <w:rFonts w:eastAsia="仿宋"/>
          <w:kern w:val="0"/>
          <w:sz w:val="32"/>
          <w:szCs w:val="32"/>
        </w:rPr>
      </w:pPr>
      <w:r>
        <w:rPr>
          <w:rFonts w:eastAsia="仿宋_GB2312"/>
          <w:bCs/>
          <w:color w:val="000000"/>
          <w:sz w:val="32"/>
          <w:szCs w:val="32"/>
        </w:rPr>
        <w:t>（四）按照国家和广东省民生保障相关政策规定，用于公共服务设施和保障性租赁住房等，经依法批准办理改建手续的。</w:t>
      </w:r>
    </w:p>
    <w:p>
      <w:pPr>
        <w:pStyle w:val="ListParagraph"/>
        <w:spacing w:lineRule="exact" w:line="590"/>
        <w:ind w:firstLineChars="0" w:firstLine="0" w:endChars="0" w:end="0"/>
        <w:rPr>
          <w:rFonts w:ascii="Times New Roman" w:hAnsi="Times New Roman" w:eastAsia="仿宋" w:cs="Times New Roman"/>
          <w:b/>
          <w:bCs/>
          <w:sz w:val="32"/>
          <w:szCs w:val="32"/>
        </w:rPr>
      </w:pPr>
      <w:r>
        <w:rPr>
          <w:rFonts w:eastAsia="仿宋" w:cs="Times New Roman" w:ascii="Times New Roman" w:hAnsi="Times New Roman"/>
          <w:b/>
          <w:bCs/>
          <w:sz w:val="32"/>
          <w:szCs w:val="32"/>
        </w:rPr>
        <w:t xml:space="preserve">    </w:t>
      </w:r>
      <w:r>
        <w:rPr>
          <w:rFonts w:ascii="Times New Roman" w:hAnsi="Times New Roman" w:cs="Times New Roman" w:eastAsia="CESI黑体-GB13000;黑体"/>
          <w:sz w:val="32"/>
          <w:szCs w:val="32"/>
        </w:rPr>
        <w:t xml:space="preserve">第十五条  </w:t>
      </w:r>
      <w:r>
        <w:rPr>
          <w:rFonts w:ascii="Times New Roman" w:hAnsi="Times New Roman" w:cs="Times New Roman" w:eastAsia="仿宋_GB2312"/>
          <w:bCs/>
          <w:color w:val="000000"/>
          <w:sz w:val="32"/>
          <w:szCs w:val="32"/>
        </w:rPr>
        <w:t>工业用地控制线调整的具体办法由市政府另行制定。</w:t>
      </w:r>
    </w:p>
    <w:p>
      <w:pPr>
        <w:pStyle w:val="Normal"/>
        <w:spacing w:lineRule="exact" w:line="590"/>
        <w:ind w:firstLineChars="200" w:startChars="0" w:start="0" w:endChars="0" w:end="0"/>
        <w:rPr>
          <w:rFonts w:eastAsia="仿宋_GB2312"/>
          <w:bCs/>
          <w:color w:val="000000"/>
          <w:sz w:val="32"/>
          <w:szCs w:val="32"/>
        </w:rPr>
      </w:pPr>
      <w:r>
        <w:rPr>
          <w:rFonts w:eastAsia="CESI黑体-GB13000;黑体"/>
          <w:sz w:val="32"/>
          <w:szCs w:val="32"/>
        </w:rPr>
        <w:t xml:space="preserve">第十六条  </w:t>
      </w:r>
      <w:r>
        <w:rPr>
          <w:rFonts w:eastAsia="仿宋_GB2312"/>
          <w:bCs/>
          <w:color w:val="000000"/>
          <w:sz w:val="32"/>
          <w:szCs w:val="32"/>
        </w:rPr>
        <w:t>市自然资源主管部门负责建立和维护全市工业用地控制线数据库，与相关职能部门和各区政府实现信息共享。</w:t>
      </w:r>
    </w:p>
    <w:p>
      <w:pPr>
        <w:pStyle w:val="Normal"/>
        <w:spacing w:lineRule="exact" w:line="590"/>
        <w:ind w:firstLineChars="200" w:startChars="0" w:start="0" w:endChars="0" w:end="0"/>
        <w:rPr>
          <w:rFonts w:eastAsia="仿宋"/>
          <w:kern w:val="0"/>
          <w:sz w:val="32"/>
          <w:szCs w:val="32"/>
        </w:rPr>
      </w:pPr>
      <w:r>
        <w:rPr>
          <w:rFonts w:eastAsia="仿宋_GB2312"/>
          <w:bCs/>
          <w:color w:val="000000"/>
          <w:sz w:val="32"/>
          <w:szCs w:val="32"/>
        </w:rPr>
        <w:t>市工业和信息化主管部门统筹建立工业项目信息化监管平台，将产业监管协议、土地出让合同等相关信息纳入平台进行动态监管。</w:t>
      </w:r>
    </w:p>
    <w:p>
      <w:pPr>
        <w:pStyle w:val="Normal"/>
        <w:spacing w:lineRule="exact" w:line="590"/>
        <w:ind w:firstLineChars="200" w:startChars="0" w:start="0" w:endChars="0" w:end="0"/>
        <w:rPr>
          <w:rFonts w:eastAsia="仿宋_GB2312"/>
          <w:bCs/>
          <w:color w:val="000000"/>
          <w:sz w:val="32"/>
          <w:szCs w:val="32"/>
        </w:rPr>
      </w:pPr>
      <w:r>
        <w:rPr>
          <w:rFonts w:eastAsia="CESI黑体-GB13000;黑体"/>
          <w:sz w:val="32"/>
          <w:szCs w:val="32"/>
        </w:rPr>
        <w:t xml:space="preserve">第十七条  </w:t>
      </w:r>
      <w:r>
        <w:rPr>
          <w:rFonts w:eastAsia="仿宋_GB2312"/>
          <w:bCs/>
          <w:color w:val="000000"/>
          <w:sz w:val="32"/>
          <w:szCs w:val="32"/>
        </w:rPr>
        <w:t>城市管理和综合执法主管部门、区政府应当对工业用地控制线内用地的建设使用活动进行监督管理。</w:t>
      </w:r>
    </w:p>
    <w:p>
      <w:pPr>
        <w:pStyle w:val="Normal"/>
        <w:spacing w:lineRule="exact" w:line="590"/>
        <w:ind w:firstLineChars="200" w:startChars="0" w:start="0" w:endChars="0" w:end="0"/>
        <w:rPr>
          <w:rFonts w:eastAsia="仿宋"/>
          <w:kern w:val="0"/>
          <w:sz w:val="32"/>
          <w:szCs w:val="32"/>
        </w:rPr>
      </w:pPr>
      <w:r>
        <w:rPr>
          <w:rFonts w:eastAsia="仿宋_GB2312"/>
          <w:bCs/>
          <w:color w:val="000000"/>
          <w:sz w:val="32"/>
          <w:szCs w:val="32"/>
        </w:rPr>
        <w:t>市自然资源、工业和信息化、商务、招商、生态环境、住房和城乡建设、城市管理和综合执法等相关部门依法对工业项目进行全过程管理，每年对各区执行情况进行督导检查。</w:t>
      </w:r>
    </w:p>
    <w:p>
      <w:pPr>
        <w:pStyle w:val="Normal"/>
        <w:spacing w:lineRule="exact" w:line="590"/>
        <w:ind w:firstLineChars="200" w:startChars="0" w:start="0" w:endChars="0" w:end="0"/>
        <w:rPr>
          <w:rFonts w:eastAsia="仿宋_GB2312"/>
          <w:bCs/>
          <w:color w:val="000000"/>
          <w:sz w:val="32"/>
          <w:szCs w:val="32"/>
        </w:rPr>
      </w:pPr>
      <w:r>
        <w:rPr>
          <w:rFonts w:eastAsia="CESI黑体-GB13000;黑体"/>
          <w:sz w:val="32"/>
          <w:szCs w:val="32"/>
        </w:rPr>
        <w:t xml:space="preserve">第十八条  </w:t>
      </w:r>
      <w:r>
        <w:rPr>
          <w:rFonts w:eastAsia="仿宋_GB2312"/>
          <w:bCs/>
          <w:color w:val="000000"/>
          <w:sz w:val="32"/>
          <w:szCs w:val="32"/>
        </w:rPr>
        <w:t>对工业用地批而未供、供而未建、建而未尽、旧厂房用地低效、开发利用低效、经济产出低效等低效工业用地，市、区政府及有关部门应当依法处置。</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各区政府负责本辖区内低效用地处置工作。市有关部门负责制定年度处置计划及考核方案，指导各区开展工作。</w:t>
      </w:r>
    </w:p>
    <w:p>
      <w:pPr>
        <w:pStyle w:val="Normal"/>
        <w:spacing w:lineRule="exact" w:line="590"/>
        <w:ind w:firstLineChars="200" w:startChars="0" w:start="0" w:endChars="0" w:end="0"/>
        <w:rPr>
          <w:rFonts w:eastAsia="仿宋"/>
          <w:kern w:val="0"/>
          <w:sz w:val="32"/>
          <w:szCs w:val="32"/>
        </w:rPr>
      </w:pPr>
      <w:r>
        <w:rPr>
          <w:rFonts w:eastAsia="仿宋_GB2312"/>
          <w:bCs/>
          <w:color w:val="000000"/>
          <w:sz w:val="32"/>
          <w:szCs w:val="32"/>
        </w:rPr>
        <w:t>低效工业用地的认定标准和处置办法由市政府另行制定。</w:t>
      </w:r>
    </w:p>
    <w:p>
      <w:pPr>
        <w:pStyle w:val="Normal"/>
        <w:spacing w:lineRule="exact" w:line="590"/>
        <w:ind w:firstLineChars="200" w:startChars="0" w:start="0" w:endChars="0" w:end="0"/>
        <w:rPr>
          <w:rFonts w:eastAsia="仿宋_GB2312"/>
          <w:bCs/>
          <w:color w:val="000000"/>
          <w:sz w:val="32"/>
          <w:szCs w:val="32"/>
        </w:rPr>
      </w:pPr>
      <w:r>
        <w:rPr>
          <w:rFonts w:eastAsia="CESI黑体-GB13000;黑体"/>
          <w:sz w:val="32"/>
          <w:szCs w:val="32"/>
        </w:rPr>
        <w:t xml:space="preserve">第十九条  </w:t>
      </w:r>
      <w:r>
        <w:rPr>
          <w:rFonts w:eastAsia="仿宋_GB2312"/>
          <w:bCs/>
          <w:color w:val="000000"/>
          <w:sz w:val="32"/>
          <w:szCs w:val="32"/>
        </w:rPr>
        <w:t>在工业用地控制线内用地管理、规划建设、产业监管中发生的违法行为，由相关主管部门依法进行处理。</w:t>
      </w:r>
    </w:p>
    <w:p>
      <w:pPr>
        <w:pStyle w:val="Normal"/>
        <w:spacing w:lineRule="exact" w:line="590"/>
        <w:ind w:firstLineChars="200" w:startChars="0" w:start="0" w:endChars="0" w:end="0"/>
        <w:rPr>
          <w:rFonts w:eastAsia="仿宋_GB2312"/>
          <w:bCs/>
          <w:color w:val="000000"/>
          <w:sz w:val="32"/>
          <w:szCs w:val="32"/>
        </w:rPr>
      </w:pPr>
      <w:r>
        <w:rPr>
          <w:rFonts w:eastAsia="仿宋_GB2312"/>
          <w:bCs/>
          <w:color w:val="000000"/>
          <w:sz w:val="32"/>
          <w:szCs w:val="32"/>
        </w:rPr>
        <w:t>负有监督管理责任的部门及其工作人员违反本规定的，对直接负责的主管人员和其他直接责任人员，由有关部门依法给予处分；构成犯罪的，依法追究刑事责任。</w:t>
      </w:r>
    </w:p>
    <w:p>
      <w:pPr>
        <w:pStyle w:val="Normal"/>
        <w:ind w:firstLineChars="200" w:startChars="0" w:start="0" w:endChars="0" w:end="0"/>
        <w:rPr/>
      </w:pPr>
      <w:r>
        <w:rPr>
          <w:rFonts w:eastAsia="CESI黑体-GB13000;黑体"/>
          <w:sz w:val="32"/>
          <w:szCs w:val="32"/>
        </w:rPr>
        <w:t xml:space="preserve">第二十条  </w:t>
      </w:r>
      <w:r>
        <w:rPr>
          <w:rFonts w:ascii="仿宋_GB2312" w:hAnsi="仿宋_GB2312" w:hint="eastAsia" w:eastAsia="仿宋_GB2312"/>
          <w:bCs/>
          <w:color w:val="000000"/>
          <w:sz w:val="32"/>
          <w:szCs w:val="32"/>
        </w:rPr>
        <w:t>本规定自</w:t>
      </w:r>
      <w:r>
        <w:rPr>
          <w:rFonts w:eastAsia="仿宋_GB2312" w:hint="eastAsia" w:ascii="仿宋_GB2312" w:hAnsi="仿宋_GB2312"/>
          <w:bCs/>
          <w:color w:val="000000"/>
          <w:sz w:val="32"/>
          <w:szCs w:val="32"/>
        </w:rPr>
        <w:t>2022</w:t>
      </w:r>
      <w:r>
        <w:rPr>
          <w:rFonts w:ascii="仿宋_GB2312" w:hAnsi="仿宋_GB2312" w:hint="eastAsia" w:eastAsia="仿宋_GB2312"/>
          <w:bCs/>
          <w:color w:val="000000"/>
          <w:sz w:val="32"/>
          <w:szCs w:val="32"/>
        </w:rPr>
        <w:t>年</w:t>
      </w:r>
      <w:r>
        <w:rPr>
          <w:rFonts w:eastAsia="仿宋_GB2312" w:hint="eastAsia" w:ascii="仿宋_GB2312" w:hAnsi="仿宋_GB2312"/>
          <w:bCs/>
          <w:color w:val="000000"/>
          <w:sz w:val="32"/>
          <w:szCs w:val="32"/>
        </w:rPr>
        <w:t>6</w:t>
      </w:r>
      <w:r>
        <w:rPr>
          <w:rFonts w:ascii="仿宋_GB2312" w:hAnsi="仿宋_GB2312" w:hint="eastAsia" w:eastAsia="仿宋_GB2312"/>
          <w:bCs/>
          <w:color w:val="000000"/>
          <w:sz w:val="32"/>
          <w:szCs w:val="32"/>
        </w:rPr>
        <w:t>月</w:t>
      </w:r>
      <w:r>
        <w:rPr>
          <w:rFonts w:eastAsia="仿宋_GB2312" w:hint="eastAsia" w:ascii="仿宋_GB2312" w:hAnsi="仿宋_GB2312"/>
          <w:bCs/>
          <w:color w:val="000000"/>
          <w:sz w:val="32"/>
          <w:szCs w:val="32"/>
        </w:rPr>
        <w:t>1</w:t>
      </w:r>
      <w:r>
        <w:rPr>
          <w:rFonts w:ascii="仿宋_GB2312" w:hAnsi="仿宋_GB2312" w:hint="eastAsia" w:eastAsia="仿宋_GB2312"/>
          <w:bCs/>
          <w:color w:val="000000"/>
          <w:sz w:val="32"/>
          <w:szCs w:val="32"/>
        </w:rPr>
        <w:t>日起施行。</w:t>
      </w:r>
      <w:r>
        <w:rPr>
          <w:rFonts w:eastAsia="仿宋_GB2312"/>
          <w:bCs/>
          <w:sz w:val="32"/>
          <w:szCs w:val="32"/>
          <w:shd w:fill="FFFFFF" w:val="clear"/>
        </w:rPr>
        <w:t xml:space="preserve"> </w:t>
      </w:r>
    </w:p>
    <w:sectPr>
      <w:footerReference w:type="default" r:id="rId2"/>
      <w:type w:val="nextPage"/>
      <w:pgSz w:w="11906" w:h="16838"/>
      <w:pgMar w:left="1531" w:right="1531" w:gutter="0" w:header="0" w:top="1984"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auto"/>
    <w:pitch w:val="default"/>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正文缩进"/>
    <w:basedOn w:val="Normal"/>
    <w:next w:val="Normal"/>
    <w:qFormat/>
    <w:pPr>
      <w:ind w:firstLineChars="200" w:startChars="0" w:start="0" w:endChars="0" w:end="0"/>
    </w:pPr>
    <w:rPr>
      <w:rFonts w:ascii="Times New Roman" w:hAnsi="Times New Roman" w:eastAsia="宋体" w:cs="Times New Roman"/>
    </w:rPr>
  </w:style>
  <w:style w:type="paragraph" w:styleId="ListParagraph">
    <w:name w:val="List Paragraph"/>
    <w:qFormat/>
    <w:pPr>
      <w:widowControl w:val="false"/>
      <w:bidi w:val="0"/>
      <w:ind w:firstLineChars="200" w:startChars="0" w:start="0" w:endChars="0" w:end="0"/>
      <w:jc w:val="both"/>
    </w:pPr>
    <w:rPr>
      <w:rFonts w:ascii="Calibri" w:hAnsi="Calibri"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2022-05-16T09:38:00Z</dcterms:created>
  <dc:creator>WPS_1509021590</dc:creator>
  <dc:description/>
  <dc:language>en-US</dc:language>
  <cp:lastModifiedBy>WPS_1509021590</cp:lastModifiedBy>
  <dcterms:modified xsi:type="dcterms:W3CDTF">2022-05-18T10:21:45Z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