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0"/>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b/>
          <w:bCs/>
          <w:color w:val="000000"/>
          <w:kern w:val="0"/>
          <w:sz w:val="44"/>
          <w:szCs w:val="44"/>
          <w:highlight w:val="none"/>
        </w:rPr>
      </w:pPr>
      <w:r>
        <w:rPr>
          <w:rFonts w:eastAsia="宋体" w:cs="宋体" w:hint="eastAsia" w:ascii="宋体" w:hAnsi="宋体"/>
          <w:b/>
          <w:bCs/>
          <w:color w:val="000000"/>
          <w:kern w:val="0"/>
          <w:sz w:val="44"/>
          <w:szCs w:val="44"/>
        </w:rPr>
      </w:r>
    </w:p>
    <w:p>
      <w:pPr>
        <w:pStyle w:val="0"/>
        <w:keepNext w:val="false"/>
        <w:keepLines w:val="false"/>
        <w:pageBreakBefore w:val="false"/>
        <w:widowControl w:val="false"/>
        <w:kinsoku w:val="true"/>
        <w:overflowPunct w:val="true"/>
        <w:autoSpaceDE w:val="true"/>
        <w:bidi w:val="0"/>
        <w:snapToGrid w:val="true"/>
        <w:spacing w:lineRule="exact" w:line="540"/>
        <w:jc w:val="center"/>
        <w:textAlignment w:val="auto"/>
        <w:rPr>
          <w:rFonts w:ascii="宋体" w:hAnsi="宋体" w:eastAsia="宋体" w:cs="宋体" w:hint="eastAsia"/>
          <w:b/>
          <w:bCs/>
          <w:color w:val="000000"/>
          <w:kern w:val="0"/>
          <w:sz w:val="44"/>
          <w:szCs w:val="44"/>
          <w:highlight w:val="none"/>
        </w:rPr>
      </w:pPr>
      <w:r>
        <w:rPr>
          <w:rFonts w:ascii="宋体" w:hAnsi="宋体" w:cs="宋体" w:hint="eastAsia"/>
          <w:b/>
          <w:bCs/>
          <w:color w:val="000000"/>
          <w:kern w:val="0"/>
          <w:sz w:val="44"/>
          <w:szCs w:val="44"/>
        </w:rPr>
        <w:t>深圳经济特区成品油监督管理条例</w:t>
      </w:r>
    </w:p>
    <w:p>
      <w:pPr>
        <w:pStyle w:val="BodyText"/>
        <w:rPr>
          <w:rFonts w:ascii="宋体" w:hAnsi="宋体" w:eastAsia="宋体" w:cs="宋体" w:hint="eastAsia"/>
          <w:b/>
          <w:bCs/>
          <w:color w:val="000000"/>
          <w:kern w:val="0"/>
          <w:sz w:val="44"/>
          <w:szCs w:val="44"/>
          <w:highlight w:val="none"/>
        </w:rPr>
      </w:pPr>
      <w:r>
        <w:rPr>
          <w:rFonts w:eastAsia="宋体" w:cs="宋体" w:hint="eastAsia"/>
          <w:b/>
          <w:bCs/>
          <w:color w:val="000000"/>
          <w:kern w:val="0"/>
          <w:sz w:val="44"/>
          <w:szCs w:val="44"/>
        </w:rPr>
      </w:r>
    </w:p>
    <w:p>
      <w:pPr>
        <w:pStyle w:val="Normal"/>
        <w:keepNext w:val="false"/>
        <w:keepLines w:val="false"/>
        <w:pageBreakBefore w:val="false"/>
        <w:widowControl w:val="false"/>
        <w:tabs>
          <w:tab w:val="clear" w:pos="420"/>
          <w:tab w:val="left" w:pos="4945" w:leader="none"/>
        </w:tabs>
        <w:kinsoku w:val="true"/>
        <w:overflowPunct w:val="fals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cs="楷体_GB2312;楷体" w:hint="eastAsia"/>
          <w:color w:val="000000"/>
          <w:sz w:val="32"/>
          <w:szCs w:val="32"/>
        </w:rPr>
      </w:pPr>
      <w:r>
        <w:rPr>
          <w:rFonts w:ascii="楷体_GB2312;楷体" w:hAnsi="楷体_GB2312;楷体" w:cs="仿宋"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2023</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4</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26</w:t>
      </w:r>
      <w:r>
        <w:rPr>
          <w:rFonts w:ascii="楷体_GB2312;楷体" w:hAnsi="楷体_GB2312;楷体" w:cs="楷体_GB2312;楷体" w:hint="eastAsia" w:eastAsia="楷体_GB2312;楷体"/>
          <w:color w:val="000000"/>
          <w:sz w:val="32"/>
          <w:szCs w:val="32"/>
        </w:rPr>
        <w:t>日深圳市第七届人民代表大会</w:t>
      </w:r>
    </w:p>
    <w:p>
      <w:pPr>
        <w:pStyle w:val="0"/>
        <w:keepNext w:val="false"/>
        <w:keepLines w:val="false"/>
        <w:pageBreakBefore w:val="false"/>
        <w:widowControl w:val="false"/>
        <w:shd w:fill="FFFFFF" w:val="clear"/>
        <w:kinsoku w:val="true"/>
        <w:overflowPunct w:val="true"/>
        <w:autoSpaceDE w:val="true"/>
        <w:bidi w:val="0"/>
        <w:snapToGrid w:val="true"/>
        <w:spacing w:lineRule="exact" w:line="540"/>
        <w:ind w:firstLineChars="0" w:firstLine="0" w:startChars="200" w:endChars="200"/>
        <w:jc w:val="both"/>
        <w:textAlignment w:val="baseline"/>
        <w:rPr>
          <w:rFonts w:ascii="楷体_GB2312;楷体" w:hAnsi="楷体_GB2312;楷体" w:eastAsia="楷体_GB2312;楷体" w:cs="仿宋"/>
          <w:color w:val="000000"/>
          <w:sz w:val="32"/>
          <w:szCs w:val="32"/>
          <w:highlight w:val="none"/>
        </w:rPr>
      </w:pPr>
      <w:r>
        <w:rPr>
          <w:rFonts w:ascii="楷体_GB2312;楷体" w:hAnsi="楷体_GB2312;楷体" w:cs="楷体_GB2312;楷体" w:hint="eastAsia" w:eastAsia="楷体_GB2312;楷体"/>
          <w:color w:val="000000"/>
          <w:sz w:val="32"/>
          <w:szCs w:val="32"/>
        </w:rPr>
        <w:t>常务委员会第十七次会议通过</w:t>
      </w:r>
      <w:r>
        <w:rPr>
          <w:rFonts w:ascii="楷体_GB2312;楷体" w:hAnsi="楷体_GB2312;楷体" w:cs="仿宋" w:hint="eastAsia" w:eastAsia="楷体_GB2312;楷体"/>
          <w:color w:val="000000"/>
          <w:sz w:val="32"/>
          <w:szCs w:val="32"/>
        </w:rPr>
        <w:t>）</w:t>
      </w:r>
    </w:p>
    <w:p>
      <w:pPr>
        <w:pStyle w:val="0"/>
        <w:keepNext w:val="false"/>
        <w:keepLines w:val="false"/>
        <w:pageBreakBefore w:val="false"/>
        <w:widowControl w:val="false"/>
        <w:shd w:fill="FFFFFF" w:val="clear"/>
        <w:kinsoku w:val="true"/>
        <w:overflowPunct w:val="true"/>
        <w:autoSpaceDE w:val="true"/>
        <w:bidi w:val="0"/>
        <w:spacing w:lineRule="exact" w:line="540"/>
        <w:ind w:firstLineChars="200" w:startChars="0" w:start="0" w:endChars="0" w:end="0"/>
        <w:jc w:val="both"/>
        <w:textAlignment w:val="baseline"/>
        <w:rPr>
          <w:rFonts w:ascii="楷体_GB2312;楷体" w:hAnsi="楷体_GB2312;楷体" w:eastAsia="楷体_GB2312;楷体" w:cs="楷体"/>
          <w:bCs/>
          <w:color w:val="000000"/>
          <w:kern w:val="0"/>
          <w:sz w:val="32"/>
          <w:szCs w:val="32"/>
          <w:highlight w:val="none"/>
        </w:rPr>
      </w:pPr>
      <w:r>
        <w:rPr>
          <w:rFonts w:eastAsia="楷体_GB2312;楷体" w:cs="楷体" w:ascii="楷体_GB2312;楷体" w:hAnsi="楷体_GB2312;楷体"/>
          <w:bCs/>
          <w:color w:val="000000"/>
          <w:kern w:val="0"/>
          <w:sz w:val="32"/>
          <w:szCs w:val="32"/>
        </w:rPr>
      </w:r>
    </w:p>
    <w:p>
      <w:pPr>
        <w:pStyle w:val="0"/>
        <w:keepNext w:val="false"/>
        <w:keepLines w:val="false"/>
        <w:pageBreakBefore w:val="false"/>
        <w:widowControl w:val="false"/>
        <w:shd w:fill="FFFFFF" w:val="clear"/>
        <w:kinsoku w:val="true"/>
        <w:overflowPunct w:val="true"/>
        <w:autoSpaceDE w:val="true"/>
        <w:bidi w:val="0"/>
        <w:snapToGrid w:val="false"/>
        <w:spacing w:lineRule="exact" w:line="540"/>
        <w:jc w:val="center"/>
        <w:textAlignment w:val="baseline"/>
        <w:rPr>
          <w:rFonts w:ascii="楷体" w:hAnsi="楷体" w:eastAsia="楷体" w:cs="楷体" w:hint="eastAsia"/>
          <w:bCs/>
          <w:color w:val="000000"/>
          <w:kern w:val="0"/>
          <w:sz w:val="30"/>
          <w:szCs w:val="30"/>
          <w:highlight w:val="none"/>
        </w:rPr>
      </w:pPr>
      <w:r>
        <w:rPr>
          <w:rFonts w:ascii="楷体" w:hAnsi="楷体" w:cs="楷体" w:hint="eastAsia" w:eastAsia="楷体"/>
          <w:bCs/>
          <w:color w:val="000000"/>
          <w:kern w:val="0"/>
          <w:sz w:val="30"/>
          <w:szCs w:val="30"/>
        </w:rPr>
        <w:t>目  录</w:t>
      </w:r>
    </w:p>
    <w:p>
      <w:pPr>
        <w:pStyle w:val="0"/>
        <w:keepNext w:val="false"/>
        <w:keepLines w:val="false"/>
        <w:pageBreakBefore w:val="false"/>
        <w:widowControl w:val="false"/>
        <w:numPr>
          <w:ilvl w:val="0"/>
          <w:numId w:val="4"/>
        </w:numPr>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楷体" w:hAnsi="楷体" w:eastAsia="楷体" w:cs="楷体" w:hint="eastAsia"/>
          <w:bCs/>
          <w:color w:val="000000"/>
          <w:kern w:val="0"/>
          <w:sz w:val="32"/>
          <w:szCs w:val="32"/>
          <w:highlight w:val="none"/>
        </w:rPr>
      </w:pPr>
      <w:r>
        <w:rPr>
          <w:rFonts w:ascii="楷体" w:hAnsi="楷体" w:cs="楷体" w:hint="eastAsia" w:eastAsia="楷体"/>
          <w:bCs/>
          <w:color w:val="000000"/>
          <w:kern w:val="0"/>
          <w:sz w:val="32"/>
          <w:szCs w:val="32"/>
        </w:rPr>
        <w:t>总则</w:t>
      </w:r>
    </w:p>
    <w:p>
      <w:pPr>
        <w:pStyle w:val="0"/>
        <w:keepNext w:val="false"/>
        <w:keepLines w:val="false"/>
        <w:pageBreakBefore w:val="false"/>
        <w:widowControl w:val="false"/>
        <w:numPr>
          <w:ilvl w:val="0"/>
          <w:numId w:val="2"/>
        </w:numPr>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楷体" w:hAnsi="楷体" w:eastAsia="楷体" w:cs="楷体" w:hint="eastAsia"/>
          <w:bCs/>
          <w:color w:val="000000"/>
          <w:kern w:val="0"/>
          <w:sz w:val="32"/>
          <w:szCs w:val="32"/>
          <w:highlight w:val="none"/>
        </w:rPr>
      </w:pPr>
      <w:r>
        <w:rPr>
          <w:rFonts w:ascii="楷体" w:hAnsi="楷体" w:cs="楷体" w:hint="eastAsia" w:eastAsia="楷体"/>
          <w:bCs/>
          <w:color w:val="000000"/>
          <w:kern w:val="0"/>
          <w:sz w:val="32"/>
          <w:szCs w:val="32"/>
        </w:rPr>
        <w:t>成品油经营管理</w:t>
      </w:r>
    </w:p>
    <w:p>
      <w:pPr>
        <w:pStyle w:val="0"/>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楷体" w:hAnsi="楷体" w:eastAsia="楷体" w:cs="楷体" w:hint="eastAsia"/>
          <w:bCs/>
          <w:color w:val="000000"/>
          <w:kern w:val="0"/>
          <w:sz w:val="32"/>
          <w:szCs w:val="32"/>
          <w:highlight w:val="none"/>
        </w:rPr>
      </w:pPr>
      <w:r>
        <w:rPr>
          <w:rFonts w:ascii="楷体" w:hAnsi="楷体" w:cs="楷体" w:hint="eastAsia" w:eastAsia="楷体"/>
          <w:bCs/>
          <w:color w:val="000000"/>
          <w:kern w:val="0"/>
          <w:sz w:val="32"/>
          <w:szCs w:val="32"/>
        </w:rPr>
        <w:t>成品油使用管理</w:t>
      </w:r>
    </w:p>
    <w:p>
      <w:pPr>
        <w:pStyle w:val="0"/>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楷体" w:hAnsi="楷体" w:eastAsia="楷体" w:cs="楷体" w:hint="eastAsia"/>
          <w:bCs/>
          <w:color w:val="000000"/>
          <w:kern w:val="0"/>
          <w:sz w:val="32"/>
          <w:szCs w:val="32"/>
          <w:highlight w:val="none"/>
        </w:rPr>
      </w:pPr>
      <w:r>
        <w:rPr>
          <w:rFonts w:ascii="楷体" w:hAnsi="楷体" w:cs="楷体" w:hint="eastAsia" w:eastAsia="楷体"/>
          <w:bCs/>
          <w:color w:val="000000"/>
          <w:kern w:val="0"/>
          <w:sz w:val="32"/>
          <w:szCs w:val="32"/>
        </w:rPr>
        <w:t>监督管理措施</w:t>
      </w:r>
    </w:p>
    <w:p>
      <w:pPr>
        <w:pStyle w:val="0"/>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楷体" w:hAnsi="楷体" w:eastAsia="楷体" w:cs="楷体" w:hint="eastAsia"/>
          <w:bCs/>
          <w:color w:val="000000"/>
          <w:kern w:val="0"/>
          <w:sz w:val="32"/>
          <w:szCs w:val="32"/>
          <w:highlight w:val="none"/>
        </w:rPr>
      </w:pPr>
      <w:r>
        <w:rPr>
          <w:rFonts w:ascii="楷体" w:hAnsi="楷体" w:cs="楷体" w:hint="eastAsia" w:eastAsia="楷体"/>
          <w:bCs/>
          <w:color w:val="000000"/>
          <w:kern w:val="0"/>
          <w:sz w:val="32"/>
          <w:szCs w:val="32"/>
        </w:rPr>
        <w:t>法律责任</w:t>
      </w:r>
    </w:p>
    <w:p>
      <w:pPr>
        <w:pStyle w:val="0"/>
        <w:keepNext w:val="false"/>
        <w:keepLines w:val="false"/>
        <w:pageBreakBefore w:val="false"/>
        <w:widowControl w:val="false"/>
        <w:numPr>
          <w:ilvl w:val="0"/>
          <w:numId w:val="1"/>
        </w:numPr>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楷体" w:hAnsi="楷体" w:eastAsia="楷体" w:cs="楷体" w:hint="eastAsia"/>
          <w:bCs/>
          <w:color w:val="000000"/>
          <w:kern w:val="0"/>
          <w:sz w:val="32"/>
          <w:szCs w:val="32"/>
          <w:highlight w:val="none"/>
        </w:rPr>
      </w:pPr>
      <w:r>
        <w:rPr>
          <w:rFonts w:ascii="楷体" w:hAnsi="楷体" w:cs="楷体" w:hint="eastAsia" w:eastAsia="楷体"/>
          <w:bCs/>
          <w:color w:val="000000"/>
          <w:kern w:val="0"/>
          <w:sz w:val="32"/>
          <w:szCs w:val="32"/>
        </w:rPr>
        <w:t>附则</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楷体" w:hAnsi="楷体" w:eastAsia="楷体" w:cs="楷体" w:hint="eastAsia"/>
          <w:bCs/>
          <w:color w:val="000000"/>
          <w:kern w:val="0"/>
          <w:sz w:val="32"/>
          <w:szCs w:val="32"/>
          <w:highlight w:val="none"/>
        </w:rPr>
      </w:pPr>
      <w:r>
        <w:rPr>
          <w:rFonts w:eastAsia="楷体" w:cs="楷体" w:hint="eastAsia" w:ascii="楷体" w:hAnsi="楷体"/>
          <w:bCs/>
          <w:color w:val="000000"/>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jc w:val="center"/>
        <w:rPr>
          <w:color w:val="000000"/>
          <w:highlight w:val="none"/>
        </w:rPr>
      </w:pPr>
      <w:r>
        <w:rPr>
          <w:rFonts w:ascii="黑体" w:hAnsi="黑体" w:cs="Arial" w:hint="eastAsia" w:eastAsia="黑体"/>
          <w:bCs/>
          <w:color w:val="000000"/>
          <w:kern w:val="0"/>
          <w:sz w:val="32"/>
          <w:szCs w:val="32"/>
        </w:rPr>
        <w:t>第一章  总则</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黑体" w:hAnsi="黑体" w:eastAsia="黑体" w:cs="Arial" w:hint="eastAsia"/>
          <w:bCs/>
          <w:color w:val="000000"/>
          <w:kern w:val="0"/>
          <w:sz w:val="32"/>
          <w:szCs w:val="32"/>
          <w:highlight w:val="none"/>
        </w:rPr>
      </w:pPr>
      <w:r>
        <w:rPr>
          <w:rFonts w:eastAsia="黑体" w:cs="Arial" w:hint="eastAsia" w:ascii="黑体" w:hAnsi="黑体"/>
          <w:bCs/>
          <w:color w:val="000000"/>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黑体" w:hAnsi="黑体" w:cs="Arial" w:hint="eastAsia" w:eastAsia="黑体"/>
          <w:bCs/>
          <w:color w:val="000000"/>
          <w:kern w:val="0"/>
          <w:sz w:val="32"/>
          <w:szCs w:val="32"/>
        </w:rPr>
        <w:t xml:space="preserve">第一条  </w:t>
      </w:r>
      <w:r>
        <w:rPr>
          <w:rFonts w:ascii="仿宋_GB2312;仿宋" w:hAnsi="仿宋_GB2312;仿宋" w:cs="微软雅黑" w:hint="eastAsia" w:eastAsia="仿宋_GB2312;仿宋"/>
          <w:color w:val="000000"/>
          <w:spacing w:val="-2"/>
          <w:kern w:val="0"/>
          <w:sz w:val="32"/>
          <w:szCs w:val="32"/>
        </w:rPr>
        <w:t>为了加强成品油监督管理，规范成品油经营和使用，促进成品油行业健康发展，保护和提升大气环境质量，根据有关法律、行政法规的基本原则，结合深圳经济特区实际，制定本条例。</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黑体" w:hAnsi="黑体" w:cs="Arial" w:hint="eastAsia" w:eastAsia="黑体"/>
          <w:bCs/>
          <w:color w:val="000000"/>
          <w:kern w:val="0"/>
          <w:sz w:val="32"/>
          <w:szCs w:val="32"/>
        </w:rPr>
        <w:t xml:space="preserve">第二条  </w:t>
      </w:r>
      <w:r>
        <w:rPr>
          <w:rFonts w:ascii="仿宋_GB2312;仿宋" w:hAnsi="仿宋_GB2312;仿宋" w:cs="微软雅黑" w:hint="eastAsia" w:eastAsia="仿宋_GB2312;仿宋"/>
          <w:color w:val="000000"/>
          <w:spacing w:val="-2"/>
          <w:kern w:val="0"/>
          <w:sz w:val="32"/>
          <w:szCs w:val="32"/>
        </w:rPr>
        <w:t>深圳经济特区内成品油经营、使用等活动的监督管理，适用本条例。</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本条例所称成品油，是指汽油、煤油、柴油以及其他具有相同用途的醇类汽油、生物柴油等替代燃料。</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color w:val="000000"/>
          <w:spacing w:val="-2"/>
          <w:kern w:val="0"/>
          <w:sz w:val="32"/>
          <w:szCs w:val="32"/>
          <w:highlight w:val="none"/>
        </w:rPr>
      </w:pPr>
      <w:r>
        <w:rPr>
          <w:rFonts w:ascii="黑体" w:hAnsi="黑体" w:cs="Arial" w:hint="eastAsia" w:eastAsia="黑体"/>
          <w:bCs/>
          <w:color w:val="000000"/>
          <w:kern w:val="0"/>
          <w:sz w:val="32"/>
          <w:szCs w:val="32"/>
        </w:rPr>
        <w:t xml:space="preserve">第三条  </w:t>
      </w:r>
      <w:r>
        <w:rPr>
          <w:rFonts w:ascii="仿宋_GB2312;仿宋" w:hAnsi="仿宋_GB2312;仿宋" w:cs="微软雅黑" w:hint="eastAsia" w:eastAsia="仿宋_GB2312;仿宋"/>
          <w:color w:val="000000"/>
          <w:spacing w:val="-2"/>
          <w:kern w:val="0"/>
          <w:sz w:val="32"/>
          <w:szCs w:val="32"/>
        </w:rPr>
        <w:t>成品油监督管理应当坚持行业管理和属地管理相结合的原则，以成品油质量、安全、环保管控为核心，建立政府统一领导、部门协同监管、企业依法经营、公众参与监督的工作机制，对成品油经营和使用实施监督管理。</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color w:val="000000"/>
          <w:spacing w:val="-2"/>
          <w:kern w:val="0"/>
          <w:sz w:val="32"/>
          <w:szCs w:val="32"/>
          <w:highlight w:val="none"/>
        </w:rPr>
      </w:pPr>
      <w:r>
        <w:rPr>
          <w:rFonts w:ascii="黑体" w:hAnsi="黑体" w:cs="Arial" w:hint="eastAsia" w:eastAsia="黑体"/>
          <w:bCs/>
          <w:color w:val="000000"/>
          <w:kern w:val="0"/>
          <w:sz w:val="32"/>
          <w:szCs w:val="32"/>
        </w:rPr>
        <w:t xml:space="preserve">第四条  </w:t>
      </w:r>
      <w:r>
        <w:rPr>
          <w:rFonts w:ascii="仿宋_GB2312;仿宋" w:hAnsi="仿宋_GB2312;仿宋" w:cs="微软雅黑" w:hint="eastAsia" w:eastAsia="仿宋_GB2312;仿宋"/>
          <w:color w:val="000000"/>
          <w:spacing w:val="-2"/>
          <w:kern w:val="0"/>
          <w:sz w:val="32"/>
          <w:szCs w:val="32"/>
        </w:rPr>
        <w:t>市人民政府应当加强对成品油监督管理工作的领导，建立跨部门联合监管机制，及时统筹、协调解决成品油监督管理工作中的重大问题。</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Arial" w:hint="eastAsia" w:eastAsia="仿宋_GB2312;仿宋"/>
          <w:bCs/>
          <w:color w:val="000000"/>
          <w:kern w:val="0"/>
          <w:sz w:val="32"/>
          <w:szCs w:val="32"/>
        </w:rPr>
        <w:t>各区人民政府（含新区管委会）负责辖区成品油管理，</w:t>
      </w:r>
      <w:r>
        <w:rPr>
          <w:rFonts w:ascii="仿宋_GB2312;仿宋" w:hAnsi="仿宋_GB2312;仿宋" w:cs="微软雅黑" w:hint="eastAsia" w:eastAsia="仿宋_GB2312;仿宋"/>
          <w:color w:val="000000"/>
          <w:spacing w:val="-2"/>
          <w:kern w:val="0"/>
          <w:sz w:val="32"/>
          <w:szCs w:val="32"/>
        </w:rPr>
        <w:t>加强成品油监管能力建设，建立健全非法成品油整治联防联控机制，统筹配置执法资源，组织开展监督管理活动。</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hint="eastAsia"/>
          <w:color w:val="000000"/>
          <w:spacing w:val="-2"/>
          <w:kern w:val="0"/>
          <w:sz w:val="32"/>
          <w:szCs w:val="32"/>
          <w:highlight w:val="none"/>
        </w:rPr>
      </w:pPr>
      <w:r>
        <w:rPr>
          <w:rFonts w:ascii="黑体" w:hAnsi="黑体" w:cs="Arial" w:hint="eastAsia" w:eastAsia="黑体"/>
          <w:bCs/>
          <w:color w:val="000000"/>
          <w:kern w:val="0"/>
          <w:sz w:val="32"/>
          <w:szCs w:val="32"/>
        </w:rPr>
        <w:t xml:space="preserve">第五条  </w:t>
      </w:r>
      <w:r>
        <w:rPr>
          <w:rFonts w:ascii="仿宋_GB2312;仿宋" w:hAnsi="仿宋_GB2312;仿宋" w:cs="微软雅黑" w:hint="eastAsia" w:eastAsia="仿宋_GB2312;仿宋"/>
          <w:bCs w:val="false"/>
          <w:color w:val="000000"/>
          <w:spacing w:val="-2"/>
          <w:kern w:val="0"/>
          <w:sz w:val="32"/>
          <w:szCs w:val="32"/>
        </w:rPr>
        <w:t>市</w:t>
      </w:r>
      <w:r>
        <w:rPr>
          <w:rFonts w:ascii="仿宋_GB2312;仿宋" w:hAnsi="仿宋_GB2312;仿宋" w:cs="微软雅黑" w:hint="eastAsia" w:eastAsia="仿宋_GB2312;仿宋"/>
          <w:color w:val="000000"/>
          <w:spacing w:val="-2"/>
          <w:kern w:val="0"/>
          <w:sz w:val="32"/>
          <w:szCs w:val="32"/>
        </w:rPr>
        <w:t>发展改革部门负责成品油行业统筹规划，拟定相关政策文件，组织建设本市成品油智慧化监控信息平台，协调解决成品油监督管理的相关具体问题。</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市商务部门负责成品油分销体系建设，依法实施成品油零售经营许可，指导、检查成品油经营者购销台账制度的建立和执行情况，建立应急保供机制，开展相关监督管理工作。</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市市场监管部门负责成品油质量监督和计量管理，依法查处成品油非法生产、经营等行为。</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市交通运输部门、应急管理部门按照各自职责负责港区内、外成品油经营活动的安全监督检查，依法查处违反安全管理规定的行为。</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市生态环境部门负责成品油经营、使用活动中挥发性有机物污染防治监督管理工作。</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工业和信息化、公安、海洋渔业、住房和建设、水务、城管和综合执法、气象、税务、海关、海事、海警等部门在各自职责范围内负责成品油相关监督管理工作。</w:t>
      </w:r>
    </w:p>
    <w:p>
      <w:pPr>
        <w:pStyle w:val="00"/>
        <w:keepNext w:val="false"/>
        <w:keepLines w:val="false"/>
        <w:pageBreakBefore w:val="false"/>
        <w:widowControl w:val="false"/>
        <w:shd w:fill="FFFFFF" w:val="clear"/>
        <w:tabs>
          <w:tab w:val="clear" w:pos="420"/>
          <w:tab w:val="left" w:pos="4655" w:leader="none"/>
        </w:tabs>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黑体" w:hAnsi="黑体" w:cs="Arial" w:hint="eastAsia" w:eastAsia="黑体"/>
          <w:bCs/>
          <w:color w:val="000000"/>
          <w:kern w:val="0"/>
          <w:sz w:val="32"/>
          <w:szCs w:val="32"/>
        </w:rPr>
        <w:t xml:space="preserve">第六条  </w:t>
      </w:r>
      <w:r>
        <w:rPr>
          <w:rFonts w:ascii="仿宋_GB2312;仿宋" w:hAnsi="仿宋_GB2312;仿宋" w:cs="微软雅黑" w:hint="eastAsia" w:eastAsia="仿宋_GB2312;仿宋"/>
          <w:color w:val="000000"/>
          <w:spacing w:val="-2"/>
          <w:kern w:val="0"/>
          <w:sz w:val="32"/>
          <w:szCs w:val="32"/>
        </w:rPr>
        <w:t>市发展改革部门应当优化调整能源结构和消费结构，鼓励推广使用清洁能源，逐步降低成品油在本市能源消费中的比重。</w:t>
      </w:r>
    </w:p>
    <w:p>
      <w:pPr>
        <w:pStyle w:val="00"/>
        <w:keepNext w:val="false"/>
        <w:keepLines w:val="false"/>
        <w:pageBreakBefore w:val="false"/>
        <w:widowControl w:val="false"/>
        <w:shd w:fill="FFFFFF" w:val="clear"/>
        <w:tabs>
          <w:tab w:val="clear" w:pos="420"/>
          <w:tab w:val="left" w:pos="4655" w:leader="none"/>
        </w:tabs>
        <w:kinsoku w:val="true"/>
        <w:overflowPunct w:val="true"/>
        <w:autoSpaceDE w:val="true"/>
        <w:bidi w:val="0"/>
        <w:snapToGrid w:val="false"/>
        <w:spacing w:lineRule="exact" w:line="540"/>
        <w:ind w:firstLineChars="200" w:startChars="0" w:start="0" w:endChars="0" w:end="0"/>
        <w:jc w:val="both"/>
        <w:rPr>
          <w:rFonts w:ascii="Calibri" w:hAnsi="Calibri" w:cs="Calibri"/>
          <w:color w:val="000000"/>
          <w:szCs w:val="22"/>
          <w:highlight w:val="none"/>
        </w:rPr>
      </w:pPr>
      <w:r>
        <w:rPr>
          <w:rFonts w:ascii="仿宋_GB2312;仿宋" w:hAnsi="仿宋_GB2312;仿宋" w:cs="微软雅黑" w:hint="eastAsia" w:eastAsia="仿宋_GB2312;仿宋"/>
          <w:color w:val="000000"/>
          <w:spacing w:val="-2"/>
          <w:kern w:val="0"/>
          <w:sz w:val="32"/>
          <w:szCs w:val="32"/>
        </w:rPr>
        <w:t>市商务、市场监管部门应当依据成品油国家标准，推动本市成品油质量升级。</w:t>
      </w:r>
    </w:p>
    <w:p>
      <w:pPr>
        <w:pStyle w:val="00"/>
        <w:keepNext w:val="false"/>
        <w:keepLines w:val="false"/>
        <w:pageBreakBefore w:val="false"/>
        <w:widowControl w:val="false"/>
        <w:shd w:fill="FFFFFF" w:val="clear"/>
        <w:tabs>
          <w:tab w:val="clear" w:pos="420"/>
          <w:tab w:val="left" w:pos="4655" w:leader="none"/>
        </w:tabs>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市交通运输、海洋渔业和海事等部门应当逐步推进船舶动力改造和燃料升级，鼓励船舶使用清洁能源和岸电，引导船舶燃料低碳化发展。</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仿宋_GB2312;仿宋" w:hAnsi="仿宋_GB2312;仿宋" w:eastAsia="仿宋_GB2312;仿宋" w:cs="微软雅黑"/>
          <w:color w:val="000000"/>
          <w:spacing w:val="-2"/>
          <w:kern w:val="0"/>
          <w:sz w:val="32"/>
          <w:szCs w:val="32"/>
          <w:highlight w:val="none"/>
        </w:rPr>
      </w:pPr>
      <w:r>
        <w:rPr>
          <w:rFonts w:ascii="黑体" w:hAnsi="黑体" w:cs="Arial" w:hint="eastAsia" w:eastAsia="黑体"/>
          <w:bCs/>
          <w:color w:val="000000"/>
          <w:kern w:val="0"/>
          <w:sz w:val="32"/>
          <w:szCs w:val="32"/>
        </w:rPr>
        <w:t xml:space="preserve">第七条  </w:t>
      </w:r>
      <w:r>
        <w:rPr>
          <w:rFonts w:ascii="仿宋_GB2312;仿宋" w:hAnsi="仿宋_GB2312;仿宋" w:cs="微软雅黑" w:hint="eastAsia" w:eastAsia="仿宋_GB2312;仿宋"/>
          <w:color w:val="000000"/>
          <w:spacing w:val="-2"/>
          <w:kern w:val="0"/>
          <w:sz w:val="32"/>
          <w:szCs w:val="32"/>
        </w:rPr>
        <w:t>支持成品油行业协会、商会建立健全行业经营自律规范、自律公约和职业道德准则。</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baseline"/>
        <w:rPr>
          <w:rFonts w:ascii="黑体" w:hAnsi="黑体" w:eastAsia="黑体" w:cs="Arial"/>
          <w:bCs/>
          <w:color w:val="000000"/>
          <w:kern w:val="0"/>
          <w:sz w:val="32"/>
          <w:szCs w:val="32"/>
          <w:highlight w:val="none"/>
        </w:rPr>
      </w:pPr>
      <w:r>
        <w:rPr>
          <w:rFonts w:ascii="仿宋_GB2312;仿宋" w:hAnsi="仿宋_GB2312;仿宋" w:cs="仿宋_GB2312;仿宋" w:hint="eastAsia" w:eastAsia="仿宋_GB2312;仿宋"/>
          <w:color w:val="000000"/>
          <w:sz w:val="32"/>
          <w:szCs w:val="32"/>
        </w:rPr>
        <w:t>鼓励成品油行业协会、商会参与国家和地方相关成品油标准、政策法规与发展</w:t>
      </w:r>
      <w:r>
        <w:rPr>
          <w:rFonts w:ascii="仿宋_GB2312;仿宋" w:hAnsi="仿宋_GB2312;仿宋" w:hint="eastAsia" w:eastAsia="仿宋_GB2312;仿宋"/>
          <w:color w:val="000000"/>
          <w:sz w:val="32"/>
          <w:szCs w:val="32"/>
        </w:rPr>
        <w:t>规划的</w:t>
      </w:r>
      <w:r>
        <w:rPr>
          <w:rFonts w:ascii="仿宋_GB2312;仿宋" w:hAnsi="仿宋_GB2312;仿宋" w:cs="仿宋_GB2312;仿宋" w:hint="eastAsia" w:eastAsia="仿宋_GB2312;仿宋"/>
          <w:color w:val="000000"/>
          <w:sz w:val="32"/>
          <w:szCs w:val="32"/>
        </w:rPr>
        <w:t>制定。</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微软雅黑"/>
          <w:bCs/>
          <w:color w:val="000000"/>
          <w:spacing w:val="-2"/>
          <w:kern w:val="0"/>
          <w:sz w:val="32"/>
          <w:szCs w:val="32"/>
          <w:highlight w:val="none"/>
        </w:rPr>
      </w:pPr>
      <w:r>
        <w:rPr>
          <w:rFonts w:eastAsia="仿宋_GB2312;仿宋" w:cs="微软雅黑" w:ascii="仿宋_GB2312;仿宋" w:hAnsi="仿宋_GB2312;仿宋"/>
          <w:bCs/>
          <w:color w:val="000000"/>
          <w:spacing w:val="-2"/>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jc w:val="center"/>
        <w:rPr>
          <w:rFonts w:ascii="黑体" w:hAnsi="黑体" w:eastAsia="黑体" w:cs="Arial" w:hint="eastAsia"/>
          <w:bCs/>
          <w:color w:val="000000"/>
          <w:kern w:val="0"/>
          <w:sz w:val="32"/>
          <w:szCs w:val="32"/>
          <w:highlight w:val="none"/>
        </w:rPr>
      </w:pPr>
      <w:r>
        <w:rPr>
          <w:rFonts w:ascii="黑体" w:hAnsi="黑体" w:cs="Arial" w:hint="eastAsia" w:eastAsia="黑体"/>
          <w:bCs/>
          <w:color w:val="000000"/>
          <w:kern w:val="0"/>
          <w:sz w:val="32"/>
          <w:szCs w:val="32"/>
        </w:rPr>
        <w:t>第二章  成品油经营管理</w:t>
      </w:r>
    </w:p>
    <w:p>
      <w:pPr>
        <w:pStyle w:val="BodyText"/>
        <w:keepNext w:val="false"/>
        <w:keepLines w:val="false"/>
        <w:pageBreakBefore w:val="false"/>
        <w:widowControl w:val="false"/>
        <w:numPr>
          <w:ilvl w:val="0"/>
          <w:numId w:val="0"/>
        </w:numPr>
        <w:kinsoku w:val="true"/>
        <w:overflowPunct w:val="true"/>
        <w:autoSpaceDE w:val="true"/>
        <w:bidi w:val="0"/>
        <w:spacing w:lineRule="exact" w:line="540" w:before="0" w:after="0"/>
        <w:ind w:hanging="0" w:start="0"/>
        <w:rPr>
          <w:rFonts w:ascii="黑体" w:hAnsi="黑体" w:eastAsia="黑体" w:cs="Arial" w:hint="eastAsia"/>
          <w:bCs/>
          <w:color w:val="000000"/>
          <w:kern w:val="0"/>
          <w:sz w:val="32"/>
          <w:szCs w:val="32"/>
          <w:highlight w:val="none"/>
        </w:rPr>
      </w:pPr>
      <w:r>
        <w:rPr>
          <w:rFonts w:eastAsia="黑体" w:cs="Arial" w:hint="eastAsia" w:ascii="黑体" w:hAnsi="黑体"/>
          <w:bCs/>
          <w:color w:val="000000"/>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仿宋_GB2312;仿宋"/>
          <w:color w:val="000000"/>
          <w:sz w:val="32"/>
          <w:szCs w:val="32"/>
          <w:highlight w:val="none"/>
        </w:rPr>
      </w:pPr>
      <w:r>
        <w:rPr>
          <w:rFonts w:ascii="黑体" w:hAnsi="黑体" w:cs="黑体" w:hint="eastAsia" w:eastAsia="黑体"/>
          <w:bCs/>
          <w:color w:val="000000"/>
          <w:kern w:val="0"/>
          <w:sz w:val="32"/>
          <w:szCs w:val="32"/>
        </w:rPr>
        <w:t xml:space="preserve">第八条  </w:t>
      </w:r>
      <w:r>
        <w:rPr>
          <w:rFonts w:ascii="仿宋_GB2312;仿宋" w:hAnsi="仿宋_GB2312;仿宋" w:cs="仿宋_GB2312;仿宋" w:hint="eastAsia" w:eastAsia="仿宋_GB2312;仿宋"/>
          <w:color w:val="000000"/>
          <w:sz w:val="32"/>
          <w:szCs w:val="32"/>
        </w:rPr>
        <w:t>成品油经营者</w:t>
      </w:r>
      <w:r>
        <w:rPr>
          <w:rFonts w:ascii="仿宋_GB2312;仿宋" w:hAnsi="仿宋_GB2312;仿宋" w:cs="微软雅黑" w:hint="eastAsia" w:eastAsia="仿宋_GB2312;仿宋"/>
          <w:color w:val="000000"/>
          <w:spacing w:val="-2"/>
          <w:kern w:val="0"/>
          <w:sz w:val="32"/>
          <w:szCs w:val="32"/>
        </w:rPr>
        <w:t>应当严格遵守有关产品质量、安全生产、生态环境保护等方面的法律、法规和强制性标准。</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rPr>
          <w:rFonts w:ascii="仿宋_GB2312;仿宋" w:hAnsi="仿宋_GB2312;仿宋" w:eastAsia="仿宋_GB2312;仿宋" w:cs="微软雅黑" w:hint="eastAsia"/>
          <w:color w:val="000000"/>
          <w:spacing w:val="-2"/>
          <w:kern w:val="0"/>
          <w:sz w:val="32"/>
          <w:szCs w:val="32"/>
          <w:highlight w:val="none"/>
        </w:rPr>
      </w:pPr>
      <w:r>
        <w:rPr>
          <w:rFonts w:ascii="黑体" w:hAnsi="黑体" w:cs="黑体" w:hint="eastAsia" w:eastAsia="黑体"/>
          <w:bCs/>
          <w:color w:val="000000"/>
          <w:spacing w:val="0"/>
          <w:kern w:val="0"/>
          <w:sz w:val="32"/>
          <w:szCs w:val="32"/>
        </w:rPr>
        <w:t>第九条</w:t>
      </w:r>
      <w:r>
        <w:rPr>
          <w:rFonts w:ascii="仿宋_GB2312;仿宋" w:hAnsi="仿宋_GB2312;仿宋" w:cs="微软雅黑" w:hint="eastAsia" w:eastAsia="仿宋_GB2312;仿宋"/>
          <w:color w:val="000000"/>
          <w:spacing w:val="-2"/>
          <w:kern w:val="0"/>
          <w:sz w:val="32"/>
          <w:szCs w:val="32"/>
        </w:rPr>
        <w:t xml:space="preserve">  成品油零售经营许可的条件和程序按照国家和广东省的相关规定执行。</w:t>
      </w:r>
    </w:p>
    <w:p>
      <w:pPr>
        <w:pStyle w:val="Normal"/>
        <w:keepNext w:val="false"/>
        <w:keepLines w:val="false"/>
        <w:pageBreakBefore w:val="false"/>
        <w:widowControl w:val="false"/>
        <w:kinsoku w:val="true"/>
        <w:overflowPunct w:val="true"/>
        <w:autoSpaceDE w:val="true"/>
        <w:bidi w:val="0"/>
        <w:spacing w:lineRule="exact" w:line="540"/>
        <w:ind w:firstLineChars="200" w:startChars="0" w:start="0" w:endChars="0" w:end="0"/>
        <w:rPr>
          <w:rFonts w:hint="eastAsia"/>
          <w:color w:val="000000"/>
        </w:rPr>
      </w:pPr>
      <w:r>
        <w:rPr>
          <w:rFonts w:ascii="仿宋_GB2312;仿宋" w:hAnsi="仿宋_GB2312;仿宋" w:cs="微软雅黑" w:eastAsia="仿宋_GB2312;仿宋"/>
          <w:color w:val="000000"/>
          <w:spacing w:val="-2"/>
          <w:sz w:val="32"/>
          <w:szCs w:val="32"/>
        </w:rPr>
        <w:t>水上加油站应当符合船舶、水上、港口安全与污染防治有关规定，依法取得许可并通过验收</w:t>
      </w:r>
      <w:r>
        <w:rPr>
          <w:rFonts w:ascii="仿宋_GB2312;仿宋" w:hAnsi="仿宋_GB2312;仿宋" w:cs="微软雅黑" w:hint="eastAsia" w:eastAsia="仿宋_GB2312;仿宋"/>
          <w:color w:val="000000"/>
          <w:spacing w:val="-2"/>
          <w:sz w:val="32"/>
          <w:szCs w:val="32"/>
        </w:rPr>
        <w:t>。</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仿宋_GB2312;仿宋"/>
          <w:color w:val="000000"/>
          <w:sz w:val="32"/>
          <w:szCs w:val="32"/>
          <w:highlight w:val="none"/>
        </w:rPr>
      </w:pPr>
      <w:r>
        <w:rPr>
          <w:rFonts w:ascii="黑体" w:hAnsi="黑体" w:cs="黑体" w:hint="eastAsia" w:eastAsia="黑体"/>
          <w:color w:val="000000"/>
          <w:sz w:val="32"/>
          <w:szCs w:val="32"/>
        </w:rPr>
        <w:t>第十条</w:t>
      </w:r>
      <w:r>
        <w:rPr>
          <w:rFonts w:ascii="黑体" w:hAnsi="黑体" w:cs="黑体" w:hint="eastAsia" w:eastAsia="黑体"/>
          <w:color w:val="000000"/>
          <w:kern w:val="0"/>
          <w:sz w:val="32"/>
          <w:szCs w:val="32"/>
        </w:rPr>
        <w:t xml:space="preserve">  </w:t>
      </w:r>
      <w:r>
        <w:rPr>
          <w:rFonts w:ascii="仿宋_GB2312;仿宋" w:hAnsi="仿宋_GB2312;仿宋" w:cs="仿宋_GB2312;仿宋" w:hint="eastAsia" w:eastAsia="仿宋_GB2312;仿宋"/>
          <w:color w:val="000000"/>
          <w:sz w:val="32"/>
          <w:szCs w:val="32"/>
        </w:rPr>
        <w:t>成品油经营者应当依法采购符合国家和地方标准的成品油。</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Arial"/>
          <w:bCs/>
          <w:color w:val="000000"/>
          <w:kern w:val="0"/>
          <w:sz w:val="32"/>
          <w:szCs w:val="32"/>
          <w:highlight w:val="none"/>
        </w:rPr>
      </w:pPr>
      <w:r>
        <w:rPr>
          <w:rFonts w:ascii="仿宋_GB2312;仿宋" w:hAnsi="仿宋_GB2312;仿宋" w:cs="仿宋_GB2312;仿宋" w:hint="eastAsia" w:eastAsia="仿宋_GB2312;仿宋"/>
          <w:color w:val="000000"/>
          <w:sz w:val="32"/>
          <w:szCs w:val="32"/>
        </w:rPr>
        <w:t>成品油经营者应当建立并执行成品油进货检查验收制度，查验供货商的经营资格，验明成品油质量合格证明和标识，并按要求对购买、入库的成品油进行质量检测</w:t>
      </w:r>
      <w:r>
        <w:rPr>
          <w:rFonts w:ascii="仿宋_GB2312;仿宋" w:hAnsi="仿宋_GB2312;仿宋" w:cs="Arial" w:hint="eastAsia" w:eastAsia="仿宋_GB2312;仿宋"/>
          <w:bCs/>
          <w:color w:val="000000"/>
          <w:kern w:val="0"/>
          <w:sz w:val="32"/>
          <w:szCs w:val="32"/>
        </w:rPr>
        <w:t>。</w:t>
      </w:r>
    </w:p>
    <w:p>
      <w:pPr>
        <w:pStyle w:val="00"/>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eastAsia="仿宋_GB2312;仿宋" w:hint="eastAsia"/>
          <w:color w:val="000000"/>
          <w:highlight w:val="none"/>
        </w:rPr>
      </w:pPr>
      <w:r>
        <w:rPr>
          <w:rFonts w:ascii="黑体" w:hAnsi="黑体" w:cs="Arial" w:hint="eastAsia" w:eastAsia="黑体"/>
          <w:bCs/>
          <w:color w:val="000000"/>
          <w:kern w:val="0"/>
          <w:sz w:val="32"/>
          <w:szCs w:val="32"/>
        </w:rPr>
        <w:t xml:space="preserve">第十一条  </w:t>
      </w:r>
      <w:r>
        <w:rPr>
          <w:rFonts w:ascii="仿宋_GB2312;仿宋" w:hAnsi="仿宋_GB2312;仿宋" w:cs="仿宋_GB2312;仿宋" w:hint="eastAsia" w:eastAsia="仿宋_GB2312;仿宋"/>
          <w:color w:val="000000"/>
          <w:sz w:val="32"/>
          <w:szCs w:val="32"/>
        </w:rPr>
        <w:t>成品油经营者应当建立成品油购销、出入库、运输、质量检测等台账管理制度，如实记录成品油的来源、去向、检验数据等信息，保留成品油来源、销售去向、检验报告、检查记录、运输记录凭证票据等材料档案。相关管理台账应当实时上传至本市成品油智慧化监控信息平台。</w:t>
      </w:r>
      <w:r>
        <w:rPr>
          <w:rFonts w:ascii="Times New Roman" w:hAnsi="Times New Roman" w:cs="Times New Roman" w:eastAsia="仿宋_GB2312;仿宋"/>
          <w:color w:val="000000"/>
          <w:sz w:val="32"/>
          <w:szCs w:val="32"/>
        </w:rPr>
        <w:t>相关台账凭证和报告的保存期限不得少于三年。</w:t>
      </w:r>
    </w:p>
    <w:p>
      <w:pPr>
        <w:pStyle w:val="8"/>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hint="eastAsia"/>
          <w:color w:val="000000"/>
          <w:spacing w:val="-2"/>
          <w:sz w:val="32"/>
          <w:szCs w:val="32"/>
          <w:highlight w:val="none"/>
        </w:rPr>
      </w:pPr>
      <w:r>
        <w:rPr>
          <w:rFonts w:ascii="黑体" w:hAnsi="黑体" w:cs="Arial" w:hint="eastAsia" w:eastAsia="黑体"/>
          <w:bCs/>
          <w:color w:val="000000"/>
          <w:kern w:val="0"/>
          <w:sz w:val="32"/>
          <w:szCs w:val="32"/>
        </w:rPr>
        <w:t>第十</w:t>
      </w:r>
      <w:r>
        <w:rPr>
          <w:rFonts w:ascii="黑体" w:hAnsi="黑体" w:cs="Arial" w:eastAsia="黑体"/>
          <w:bCs/>
          <w:color w:val="000000"/>
          <w:kern w:val="0"/>
          <w:sz w:val="32"/>
          <w:szCs w:val="32"/>
        </w:rPr>
        <w:t>二</w:t>
      </w:r>
      <w:r>
        <w:rPr>
          <w:rFonts w:ascii="黑体" w:hAnsi="黑体" w:cs="Arial" w:hint="eastAsia" w:eastAsia="黑体"/>
          <w:bCs/>
          <w:color w:val="000000"/>
          <w:kern w:val="0"/>
          <w:sz w:val="32"/>
          <w:szCs w:val="32"/>
        </w:rPr>
        <w:t xml:space="preserve">条  </w:t>
      </w:r>
      <w:r>
        <w:rPr>
          <w:rFonts w:ascii="仿宋_GB2312;仿宋" w:hAnsi="仿宋_GB2312;仿宋" w:cs="微软雅黑" w:eastAsia="仿宋_GB2312;仿宋"/>
          <w:b w:val="false"/>
          <w:bCs w:val="false"/>
          <w:i w:val="false"/>
          <w:iCs w:val="false"/>
          <w:color w:val="000000"/>
          <w:spacing w:val="-2"/>
          <w:kern w:val="2"/>
          <w:position w:val="0"/>
          <w:sz w:val="32"/>
          <w:szCs w:val="32"/>
          <w:vertAlign w:val="baseline"/>
        </w:rPr>
        <w:t>储油库、</w:t>
      </w:r>
      <w:r>
        <w:rPr>
          <w:rFonts w:ascii="仿宋_GB2312;仿宋" w:hAnsi="仿宋_GB2312;仿宋" w:cs="微软雅黑" w:hint="eastAsia" w:eastAsia="仿宋_GB2312;仿宋"/>
          <w:color w:val="000000"/>
          <w:spacing w:val="-2"/>
          <w:sz w:val="32"/>
          <w:szCs w:val="32"/>
        </w:rPr>
        <w:t>加油站和油罐车应当符合有关规定和技术规范，安装油气回收装置和在线监控系统，与相关部门联网，并保持正常使用。</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Style w:val="Style14"/>
          <w:rFonts w:ascii="仿宋_GB2312;仿宋" w:hAnsi="仿宋_GB2312;仿宋" w:eastAsia="仿宋_GB2312;仿宋" w:cs="微软雅黑"/>
          <w:color w:val="000000"/>
          <w:spacing w:val="-2"/>
          <w:kern w:val="0"/>
          <w:sz w:val="32"/>
          <w:szCs w:val="32"/>
          <w:highlight w:val="none"/>
        </w:rPr>
      </w:pPr>
      <w:r>
        <w:rPr>
          <w:rStyle w:val="Style14"/>
          <w:rFonts w:ascii="仿宋_GB2312;仿宋" w:hAnsi="仿宋_GB2312;仿宋" w:cs="微软雅黑" w:hint="eastAsia" w:eastAsia="仿宋_GB2312;仿宋"/>
          <w:color w:val="000000"/>
          <w:spacing w:val="-2"/>
          <w:kern w:val="0"/>
          <w:sz w:val="32"/>
          <w:szCs w:val="32"/>
        </w:rPr>
        <w:t>加油站卸油应当保持全过程密闭，并进行全过程视频记录。</w:t>
      </w:r>
    </w:p>
    <w:p>
      <w:pPr>
        <w:pStyle w:val="8"/>
        <w:keepNext w:val="false"/>
        <w:keepLines w:val="false"/>
        <w:pageBreakBefore w:val="false"/>
        <w:widowControl w:val="false"/>
        <w:kinsoku w:val="true"/>
        <w:overflowPunct w:val="true"/>
        <w:autoSpaceDE w:val="true"/>
        <w:bidi w:val="0"/>
        <w:spacing w:lineRule="exact" w:line="560"/>
        <w:ind w:startChars="0" w:start="0" w:endChars="0" w:end="0"/>
        <w:rPr>
          <w:rStyle w:val="Style14"/>
          <w:rFonts w:ascii="仿宋_GB2312;仿宋" w:hAnsi="仿宋_GB2312;仿宋" w:eastAsia="仿宋_GB2312;仿宋" w:cs="微软雅黑" w:hint="eastAsia"/>
          <w:color w:val="000000"/>
          <w:spacing w:val="-2"/>
          <w:kern w:val="0"/>
          <w:sz w:val="32"/>
          <w:szCs w:val="32"/>
          <w:highlight w:val="none"/>
        </w:rPr>
      </w:pPr>
      <w:r>
        <w:rPr>
          <w:rStyle w:val="Style14"/>
          <w:rFonts w:ascii="仿宋_GB2312;仿宋" w:hAnsi="仿宋_GB2312;仿宋" w:cs="微软雅黑" w:hint="eastAsia" w:eastAsia="仿宋_GB2312;仿宋"/>
          <w:color w:val="000000"/>
          <w:spacing w:val="-2"/>
          <w:kern w:val="0"/>
          <w:sz w:val="32"/>
          <w:szCs w:val="32"/>
        </w:rPr>
        <w:t>鼓励加油站实施错峰加油优惠，引导公众夜间错峰加油，减少油气排放。</w:t>
      </w:r>
    </w:p>
    <w:p>
      <w:pPr>
        <w:pStyle w:val="8"/>
        <w:keepNext w:val="false"/>
        <w:keepLines w:val="false"/>
        <w:pageBreakBefore w:val="false"/>
        <w:widowControl w:val="false"/>
        <w:kinsoku w:val="true"/>
        <w:overflowPunct w:val="true"/>
        <w:autoSpaceDE w:val="true"/>
        <w:bidi w:val="0"/>
        <w:spacing w:lineRule="exact" w:line="560"/>
        <w:ind w:startChars="0" w:start="0" w:endChars="0" w:end="0"/>
        <w:jc w:val="both"/>
        <w:rPr>
          <w:rStyle w:val="Style14"/>
          <w:rFonts w:ascii="仿宋_GB2312;仿宋" w:hAnsi="仿宋_GB2312;仿宋" w:eastAsia="仿宋_GB2312;仿宋" w:cs="微软雅黑"/>
          <w:color w:val="000000"/>
          <w:spacing w:val="-2"/>
          <w:kern w:val="0"/>
          <w:sz w:val="32"/>
          <w:szCs w:val="32"/>
          <w:highlight w:val="none"/>
        </w:rPr>
      </w:pPr>
      <w:r>
        <w:rPr>
          <w:rStyle w:val="Style14"/>
          <w:rFonts w:ascii="黑体" w:hAnsi="黑体" w:cs="黑体" w:hint="eastAsia" w:eastAsia="黑体"/>
          <w:color w:val="000000"/>
          <w:spacing w:val="-2"/>
          <w:kern w:val="0"/>
          <w:sz w:val="32"/>
          <w:szCs w:val="32"/>
        </w:rPr>
        <w:t>第</w:t>
      </w:r>
      <w:r>
        <w:rPr>
          <w:rStyle w:val="Style14"/>
          <w:rFonts w:ascii="黑体" w:hAnsi="黑体" w:cs="黑体" w:eastAsia="黑体"/>
          <w:color w:val="000000"/>
          <w:spacing w:val="-2"/>
          <w:kern w:val="0"/>
          <w:sz w:val="32"/>
          <w:szCs w:val="32"/>
        </w:rPr>
        <w:t>十三</w:t>
      </w:r>
      <w:r>
        <w:rPr>
          <w:rStyle w:val="Style14"/>
          <w:rFonts w:ascii="黑体" w:hAnsi="黑体" w:cs="黑体" w:hint="eastAsia" w:eastAsia="黑体"/>
          <w:color w:val="000000"/>
          <w:spacing w:val="-2"/>
          <w:kern w:val="0"/>
          <w:sz w:val="32"/>
          <w:szCs w:val="32"/>
        </w:rPr>
        <w:t>条</w:t>
      </w:r>
      <w:r>
        <w:rPr>
          <w:rStyle w:val="Style14"/>
          <w:rFonts w:ascii="仿宋_GB2312;仿宋" w:hAnsi="仿宋_GB2312;仿宋" w:cs="微软雅黑" w:hint="eastAsia" w:eastAsia="仿宋_GB2312;仿宋"/>
          <w:color w:val="000000"/>
          <w:spacing w:val="-2"/>
          <w:kern w:val="0"/>
          <w:sz w:val="32"/>
          <w:szCs w:val="32"/>
        </w:rPr>
        <w:t xml:space="preserve">  </w:t>
      </w:r>
      <w:r>
        <w:rPr>
          <w:rStyle w:val="Style14"/>
          <w:rFonts w:ascii="仿宋_GB2312;仿宋" w:hAnsi="仿宋_GB2312;仿宋" w:cs="微软雅黑" w:eastAsia="仿宋_GB2312;仿宋"/>
          <w:color w:val="000000"/>
          <w:spacing w:val="-2"/>
          <w:kern w:val="0"/>
          <w:sz w:val="32"/>
          <w:szCs w:val="32"/>
        </w:rPr>
        <w:t>加油站应当按</w:t>
      </w:r>
      <w:r>
        <w:rPr>
          <w:rStyle w:val="Style14"/>
          <w:rFonts w:ascii="仿宋_GB2312;仿宋" w:hAnsi="仿宋_GB2312;仿宋" w:cs="微软雅黑" w:hint="eastAsia" w:eastAsia="仿宋_GB2312;仿宋"/>
          <w:color w:val="000000"/>
          <w:spacing w:val="-2"/>
          <w:kern w:val="0"/>
          <w:sz w:val="32"/>
          <w:szCs w:val="32"/>
        </w:rPr>
        <w:t>照</w:t>
      </w:r>
      <w:r>
        <w:rPr>
          <w:rStyle w:val="Style14"/>
          <w:rFonts w:ascii="仿宋_GB2312;仿宋" w:hAnsi="仿宋_GB2312;仿宋" w:cs="微软雅黑" w:eastAsia="仿宋_GB2312;仿宋"/>
          <w:color w:val="000000"/>
          <w:spacing w:val="-2"/>
          <w:kern w:val="0"/>
          <w:sz w:val="32"/>
          <w:szCs w:val="32"/>
        </w:rPr>
        <w:t>规定安装和使用智能税控系统，与税务部门联网，并</w:t>
      </w:r>
      <w:r>
        <w:rPr>
          <w:rStyle w:val="Style14"/>
          <w:rFonts w:ascii="仿宋_GB2312;仿宋" w:hAnsi="仿宋_GB2312;仿宋" w:cs="微软雅黑" w:hint="eastAsia" w:eastAsia="仿宋_GB2312;仿宋"/>
          <w:color w:val="000000"/>
          <w:spacing w:val="-2"/>
          <w:kern w:val="0"/>
          <w:sz w:val="32"/>
          <w:szCs w:val="32"/>
        </w:rPr>
        <w:t>配合做好系统升级和维护</w:t>
      </w:r>
      <w:r>
        <w:rPr>
          <w:rStyle w:val="Style14"/>
          <w:rFonts w:ascii="仿宋_GB2312;仿宋" w:hAnsi="仿宋_GB2312;仿宋" w:cs="微软雅黑" w:eastAsia="仿宋_GB2312;仿宋"/>
          <w:color w:val="000000"/>
          <w:spacing w:val="-2"/>
          <w:kern w:val="0"/>
          <w:sz w:val="32"/>
          <w:szCs w:val="32"/>
        </w:rPr>
        <w:t>。</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黑体" w:hAnsi="黑体" w:cs="Arial" w:hint="eastAsia" w:eastAsia="黑体"/>
          <w:bCs/>
          <w:color w:val="000000"/>
          <w:sz w:val="32"/>
          <w:szCs w:val="32"/>
        </w:rPr>
        <w:t>第十</w:t>
      </w:r>
      <w:r>
        <w:rPr>
          <w:rFonts w:ascii="黑体" w:hAnsi="黑体" w:cs="Arial" w:eastAsia="黑体"/>
          <w:bCs/>
          <w:color w:val="000000"/>
          <w:sz w:val="32"/>
          <w:szCs w:val="32"/>
        </w:rPr>
        <w:t>四</w:t>
      </w:r>
      <w:r>
        <w:rPr>
          <w:rFonts w:ascii="黑体" w:hAnsi="黑体" w:cs="Arial" w:hint="eastAsia" w:eastAsia="黑体"/>
          <w:bCs/>
          <w:color w:val="000000"/>
          <w:sz w:val="32"/>
          <w:szCs w:val="32"/>
        </w:rPr>
        <w:t xml:space="preserve">条  </w:t>
      </w:r>
      <w:r>
        <w:rPr>
          <w:rFonts w:ascii="仿宋_GB2312;仿宋" w:hAnsi="仿宋_GB2312;仿宋" w:cs="微软雅黑" w:hint="eastAsia" w:eastAsia="仿宋_GB2312;仿宋"/>
          <w:color w:val="000000"/>
          <w:spacing w:val="-2"/>
          <w:sz w:val="32"/>
          <w:szCs w:val="32"/>
        </w:rPr>
        <w:t>任何单位和个人不得有下列行为：</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（一）擅自设置、使用罐体、箱体等设备设施存储成品油；</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eastAsia="仿宋_GB2312;仿宋"/>
          <w:color w:val="000000"/>
          <w:spacing w:val="-2"/>
          <w:kern w:val="0"/>
          <w:sz w:val="32"/>
          <w:szCs w:val="32"/>
        </w:rPr>
        <w:t>（二）非法加工、调和成品油；</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三</w:t>
      </w:r>
      <w:r>
        <w:rPr>
          <w:rFonts w:ascii="仿宋_GB2312;仿宋" w:hAnsi="仿宋_GB2312;仿宋" w:cs="微软雅黑" w:hint="eastAsia" w:eastAsia="仿宋_GB2312;仿宋"/>
          <w:color w:val="000000"/>
          <w:spacing w:val="-2"/>
          <w:sz w:val="32"/>
          <w:szCs w:val="32"/>
        </w:rPr>
        <w:t>）未取得行政许可开展成品油运输；</w:t>
      </w:r>
    </w:p>
    <w:p>
      <w:pPr>
        <w:pStyle w:val="msonormalcxspmiddle"/>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四</w:t>
      </w: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hint="eastAsia" w:eastAsia="仿宋_GB2312;仿宋"/>
          <w:color w:val="000000"/>
          <w:spacing w:val="-2"/>
          <w:kern w:val="0"/>
          <w:sz w:val="32"/>
          <w:szCs w:val="32"/>
        </w:rPr>
        <w:t>未经</w:t>
      </w:r>
      <w:r>
        <w:rPr>
          <w:rFonts w:ascii="仿宋_GB2312;仿宋" w:hAnsi="仿宋_GB2312;仿宋" w:cs="仿宋_GB2312;仿宋" w:hint="eastAsia" w:eastAsia="仿宋_GB2312;仿宋"/>
          <w:color w:val="000000"/>
          <w:sz w:val="32"/>
          <w:szCs w:val="32"/>
        </w:rPr>
        <w:t>市商务部门</w:t>
      </w:r>
      <w:r>
        <w:rPr>
          <w:rFonts w:ascii="仿宋_GB2312;仿宋" w:hAnsi="仿宋_GB2312;仿宋" w:cs="微软雅黑" w:hint="eastAsia" w:eastAsia="仿宋_GB2312;仿宋"/>
          <w:color w:val="000000"/>
          <w:spacing w:val="-2"/>
          <w:kern w:val="0"/>
          <w:sz w:val="32"/>
          <w:szCs w:val="32"/>
        </w:rPr>
        <w:t>许可开展成品油零售；</w:t>
      </w:r>
    </w:p>
    <w:p>
      <w:pPr>
        <w:pStyle w:val="msonormalcxspmiddle"/>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五</w:t>
      </w:r>
      <w:r>
        <w:rPr>
          <w:rFonts w:ascii="仿宋_GB2312;仿宋" w:hAnsi="仿宋_GB2312;仿宋" w:cs="微软雅黑" w:hint="eastAsia" w:eastAsia="仿宋_GB2312;仿宋"/>
          <w:color w:val="000000"/>
          <w:spacing w:val="-2"/>
          <w:sz w:val="32"/>
          <w:szCs w:val="32"/>
        </w:rPr>
        <w:t>）经营不符合产品质量标准或者环保强制性标准的成品油；</w:t>
      </w:r>
    </w:p>
    <w:p>
      <w:pPr>
        <w:pStyle w:val="msonormalcxspmiddle"/>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六</w:t>
      </w:r>
      <w:r>
        <w:rPr>
          <w:rFonts w:ascii="仿宋_GB2312;仿宋" w:hAnsi="仿宋_GB2312;仿宋" w:cs="微软雅黑" w:hint="eastAsia" w:eastAsia="仿宋_GB2312;仿宋"/>
          <w:color w:val="000000"/>
          <w:spacing w:val="-2"/>
          <w:sz w:val="32"/>
          <w:szCs w:val="32"/>
        </w:rPr>
        <w:t>）经营无合法来源的成品油；</w:t>
      </w:r>
    </w:p>
    <w:p>
      <w:pPr>
        <w:pStyle w:val="msonormalcxsplast"/>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七</w:t>
      </w:r>
      <w:r>
        <w:rPr>
          <w:rFonts w:ascii="仿宋_GB2312;仿宋" w:hAnsi="仿宋_GB2312;仿宋" w:cs="微软雅黑" w:hint="eastAsia" w:eastAsia="仿宋_GB2312;仿宋"/>
          <w:color w:val="000000"/>
          <w:spacing w:val="-2"/>
          <w:sz w:val="32"/>
          <w:szCs w:val="32"/>
        </w:rPr>
        <w:t>）在批发、零售成品油时掺杂掺假、以假充真、以次充好、克扣油量；</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八</w:t>
      </w:r>
      <w:r>
        <w:rPr>
          <w:rFonts w:ascii="仿宋_GB2312;仿宋" w:hAnsi="仿宋_GB2312;仿宋" w:cs="微软雅黑" w:hint="eastAsia" w:eastAsia="仿宋_GB2312;仿宋"/>
          <w:color w:val="000000"/>
          <w:spacing w:val="-2"/>
          <w:sz w:val="32"/>
          <w:szCs w:val="32"/>
        </w:rPr>
        <w:t>）为</w:t>
      </w:r>
      <w:r>
        <w:rPr>
          <w:rFonts w:ascii="仿宋_GB2312;仿宋" w:hAnsi="仿宋_GB2312;仿宋" w:cs="微软雅黑" w:hint="eastAsia" w:eastAsia="仿宋_GB2312;仿宋"/>
          <w:color w:val="000000"/>
          <w:spacing w:val="-2"/>
          <w:kern w:val="0"/>
          <w:sz w:val="32"/>
          <w:szCs w:val="32"/>
        </w:rPr>
        <w:t>违法经营、使用成品油的活动提供场所；</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eastAsia="仿宋_GB2312;仿宋"/>
          <w:color w:val="000000"/>
          <w:spacing w:val="-2"/>
          <w:sz w:val="32"/>
          <w:szCs w:val="32"/>
        </w:rPr>
        <w:t>九</w:t>
      </w:r>
      <w:r>
        <w:rPr>
          <w:rFonts w:ascii="仿宋_GB2312;仿宋" w:hAnsi="仿宋_GB2312;仿宋" w:cs="微软雅黑" w:hint="eastAsia" w:eastAsia="仿宋_GB2312;仿宋"/>
          <w:color w:val="000000"/>
          <w:spacing w:val="-2"/>
          <w:sz w:val="32"/>
          <w:szCs w:val="32"/>
        </w:rPr>
        <w:t>）</w:t>
      </w:r>
      <w:r>
        <w:rPr>
          <w:rFonts w:ascii="仿宋_GB2312;仿宋" w:hAnsi="仿宋_GB2312;仿宋" w:cs="微软雅黑" w:hint="eastAsia" w:eastAsia="仿宋_GB2312;仿宋"/>
          <w:color w:val="000000"/>
          <w:spacing w:val="-2"/>
          <w:kern w:val="0"/>
          <w:sz w:val="32"/>
          <w:szCs w:val="32"/>
        </w:rPr>
        <w:t>法律、法规禁止的其他成品油违法经营行为。</w:t>
      </w:r>
    </w:p>
    <w:p>
      <w:pPr>
        <w:pStyle w:val="msonormalcxspmiddle"/>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eastAsia="仿宋_GB2312;仿宋" w:cs="微软雅黑" w:ascii="仿宋_GB2312;仿宋" w:hAnsi="仿宋_GB2312;仿宋"/>
          <w:color w:val="000000"/>
          <w:spacing w:val="-2"/>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jc w:val="center"/>
        <w:rPr>
          <w:rFonts w:ascii="黑体" w:hAnsi="黑体" w:eastAsia="黑体" w:cs="Arial"/>
          <w:bCs/>
          <w:color w:val="000000"/>
          <w:kern w:val="0"/>
          <w:sz w:val="32"/>
          <w:szCs w:val="32"/>
          <w:highlight w:val="none"/>
        </w:rPr>
      </w:pPr>
      <w:r>
        <w:rPr>
          <w:rFonts w:ascii="黑体" w:hAnsi="黑体" w:cs="Arial" w:hint="eastAsia" w:eastAsia="黑体"/>
          <w:bCs/>
          <w:color w:val="000000"/>
          <w:kern w:val="0"/>
          <w:sz w:val="32"/>
          <w:szCs w:val="32"/>
        </w:rPr>
        <w:t>第三章  成品油使用管理</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黑体" w:hAnsi="黑体" w:eastAsia="黑体" w:cs="Arial" w:hint="eastAsia"/>
          <w:bCs/>
          <w:color w:val="000000"/>
          <w:kern w:val="0"/>
          <w:sz w:val="32"/>
          <w:szCs w:val="32"/>
          <w:highlight w:val="none"/>
        </w:rPr>
      </w:pPr>
      <w:r>
        <w:rPr>
          <w:rFonts w:eastAsia="黑体" w:cs="Arial" w:hint="eastAsia" w:ascii="黑体" w:hAnsi="黑体"/>
          <w:bCs/>
          <w:color w:val="000000"/>
          <w:kern w:val="0"/>
          <w:sz w:val="32"/>
          <w:szCs w:val="32"/>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仿宋_GB2312;仿宋" w:hAnsi="仿宋_GB2312;仿宋" w:eastAsia="仿宋_GB2312;仿宋" w:cs="微软雅黑" w:hint="eastAsia"/>
          <w:color w:val="000000"/>
          <w:spacing w:val="-2"/>
          <w:kern w:val="0"/>
          <w:sz w:val="32"/>
          <w:szCs w:val="32"/>
          <w:highlight w:val="none"/>
        </w:rPr>
      </w:pPr>
      <w:r>
        <w:rPr>
          <w:rFonts w:ascii="黑体" w:hAnsi="黑体" w:cs="Arial" w:hint="eastAsia" w:eastAsia="黑体"/>
          <w:bCs/>
          <w:color w:val="000000"/>
          <w:kern w:val="0"/>
          <w:sz w:val="32"/>
          <w:szCs w:val="32"/>
        </w:rPr>
        <w:t>第十</w:t>
      </w:r>
      <w:r>
        <w:rPr>
          <w:rFonts w:ascii="黑体" w:hAnsi="黑体" w:cs="Arial" w:eastAsia="黑体"/>
          <w:bCs/>
          <w:color w:val="000000"/>
          <w:kern w:val="0"/>
          <w:sz w:val="32"/>
          <w:szCs w:val="32"/>
        </w:rPr>
        <w:t>五</w:t>
      </w:r>
      <w:r>
        <w:rPr>
          <w:rFonts w:ascii="黑体" w:hAnsi="黑体" w:cs="Arial" w:hint="eastAsia" w:eastAsia="黑体"/>
          <w:bCs/>
          <w:color w:val="000000"/>
          <w:kern w:val="0"/>
          <w:sz w:val="32"/>
          <w:szCs w:val="32"/>
        </w:rPr>
        <w:t xml:space="preserve">条  </w:t>
      </w:r>
      <w:r>
        <w:rPr>
          <w:rFonts w:ascii="仿宋_GB2312;仿宋" w:hAnsi="仿宋_GB2312;仿宋" w:cs="微软雅黑" w:hint="eastAsia" w:eastAsia="仿宋_GB2312;仿宋"/>
          <w:color w:val="000000"/>
          <w:spacing w:val="-2"/>
          <w:kern w:val="0"/>
          <w:sz w:val="32"/>
          <w:szCs w:val="32"/>
        </w:rPr>
        <w:t>建设工地、工业企业和橇装式加油装置使用单位可以与市商务部门年检合格的成品油零售经营者签订书面协议，实行</w:t>
      </w:r>
      <w:r>
        <w:rPr>
          <w:rFonts w:ascii="仿宋_GB2312;仿宋" w:hAnsi="仿宋_GB2312;仿宋" w:cs="微软雅黑" w:hint="eastAsia" w:eastAsia="仿宋_GB2312;仿宋"/>
          <w:color w:val="000000"/>
          <w:spacing w:val="-2"/>
          <w:sz w:val="32"/>
          <w:szCs w:val="32"/>
        </w:rPr>
        <w:t>成品油直接配送</w:t>
      </w:r>
      <w:r>
        <w:rPr>
          <w:rFonts w:ascii="仿宋_GB2312;仿宋" w:hAnsi="仿宋_GB2312;仿宋" w:cs="微软雅黑" w:hint="eastAsia" w:eastAsia="仿宋_GB2312;仿宋"/>
          <w:color w:val="000000"/>
          <w:spacing w:val="-2"/>
          <w:kern w:val="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baseline"/>
        <w:rPr>
          <w:rFonts w:ascii="黑体" w:hAnsi="黑体" w:eastAsia="黑体" w:cs="Arial" w:hint="eastAsia"/>
          <w:bCs/>
          <w:i w:val="false"/>
          <w:iCs w:val="false"/>
          <w:caps w:val="false"/>
          <w:smallCaps w:val="false"/>
          <w:color w:val="000000"/>
          <w:spacing w:val="-6"/>
          <w:sz w:val="32"/>
          <w:szCs w:val="32"/>
          <w:highlight w:val="none"/>
          <w:shd w:fill="auto" w:val="clear"/>
        </w:rPr>
      </w:pPr>
      <w:r>
        <w:rPr>
          <w:rFonts w:ascii="仿宋_GB2312;仿宋" w:hAnsi="仿宋_GB2312;仿宋" w:cs="微软雅黑" w:eastAsia="仿宋_GB2312;仿宋"/>
          <w:b w:val="false"/>
          <w:bCs w:val="false"/>
          <w:i w:val="false"/>
          <w:iCs w:val="false"/>
          <w:color w:val="000000"/>
          <w:spacing w:val="-2"/>
          <w:kern w:val="0"/>
          <w:position w:val="0"/>
          <w:sz w:val="32"/>
          <w:szCs w:val="32"/>
          <w:vertAlign w:val="baseline"/>
        </w:rPr>
        <w:t>本条例所称橇装式加油装置，是指</w:t>
      </w:r>
      <w:r>
        <w:rPr>
          <w:rFonts w:ascii="仿宋_GB2312;仿宋" w:hAnsi="仿宋_GB2312;仿宋" w:cs="Arial Unicode MS;Arial" w:eastAsia="仿宋_GB2312;仿宋"/>
          <w:b w:val="false"/>
          <w:bCs w:val="false"/>
          <w:i w:val="false"/>
          <w:iCs w:val="false"/>
          <w:color w:val="000000"/>
          <w:kern w:val="2"/>
          <w:position w:val="0"/>
          <w:sz w:val="32"/>
          <w:szCs w:val="32"/>
          <w:vertAlign w:val="baseline"/>
        </w:rPr>
        <w:t>仅用于企业自用、临时或者特定场所，将防火防爆储油罐、加油机、自动灭火装</w:t>
      </w:r>
      <w:r>
        <w:rPr>
          <w:rFonts w:ascii="仿宋_GB2312;仿宋" w:hAnsi="仿宋_GB2312;仿宋" w:cs="Arial Unicode MS;Arial" w:eastAsia="仿宋_GB2312;仿宋"/>
          <w:b w:val="false"/>
          <w:bCs w:val="false"/>
          <w:i w:val="false"/>
          <w:iCs w:val="false"/>
          <w:color w:val="000000"/>
          <w:spacing w:val="-6"/>
          <w:kern w:val="2"/>
          <w:position w:val="0"/>
          <w:sz w:val="32"/>
          <w:szCs w:val="32"/>
          <w:vertAlign w:val="baseline"/>
        </w:rPr>
        <w:t>置等设备及其配件整体装配于一个钢制橇体的地面加油系统。</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b w:val="false"/>
          <w:bCs w:val="false"/>
          <w:i w:val="false"/>
          <w:iCs w:val="false"/>
          <w:color w:val="000000"/>
          <w:spacing w:val="-2"/>
          <w:kern w:val="0"/>
          <w:position w:val="0"/>
          <w:sz w:val="32"/>
          <w:szCs w:val="32"/>
          <w:highlight w:val="none"/>
          <w:vertAlign w:val="baseline"/>
        </w:rPr>
      </w:pPr>
      <w:r>
        <w:rPr>
          <w:rFonts w:ascii="黑体" w:hAnsi="黑体" w:cs="Arial" w:hint="eastAsia" w:eastAsia="黑体"/>
          <w:bCs/>
          <w:i w:val="false"/>
          <w:iCs w:val="false"/>
          <w:caps w:val="false"/>
          <w:smallCaps w:val="false"/>
          <w:color w:val="000000"/>
          <w:spacing w:val="0"/>
          <w:sz w:val="32"/>
          <w:szCs w:val="32"/>
          <w:shd w:fill="auto" w:val="clear"/>
        </w:rPr>
        <w:t>第十</w:t>
      </w:r>
      <w:r>
        <w:rPr>
          <w:rFonts w:ascii="黑体" w:hAnsi="黑体" w:cs="Arial" w:eastAsia="黑体"/>
          <w:bCs/>
          <w:i w:val="false"/>
          <w:iCs w:val="false"/>
          <w:caps w:val="false"/>
          <w:smallCaps w:val="false"/>
          <w:color w:val="000000"/>
          <w:spacing w:val="0"/>
          <w:sz w:val="32"/>
          <w:szCs w:val="32"/>
          <w:shd w:fill="auto" w:val="clear"/>
        </w:rPr>
        <w:t>六</w:t>
      </w:r>
      <w:r>
        <w:rPr>
          <w:rFonts w:ascii="黑体" w:hAnsi="黑体" w:cs="Arial" w:hint="eastAsia" w:eastAsia="黑体"/>
          <w:bCs/>
          <w:i w:val="false"/>
          <w:iCs w:val="false"/>
          <w:caps w:val="false"/>
          <w:smallCaps w:val="false"/>
          <w:color w:val="000000"/>
          <w:spacing w:val="0"/>
          <w:sz w:val="32"/>
          <w:szCs w:val="32"/>
          <w:shd w:fill="auto" w:val="clear"/>
        </w:rPr>
        <w:t xml:space="preserve">条  </w:t>
      </w:r>
      <w:r>
        <w:rPr>
          <w:rFonts w:ascii="仿宋_GB2312;仿宋" w:hAnsi="仿宋_GB2312;仿宋" w:cs="微软雅黑" w:hint="eastAsia" w:eastAsia="仿宋_GB2312;仿宋"/>
          <w:i w:val="false"/>
          <w:iCs w:val="false"/>
          <w:caps w:val="false"/>
          <w:smallCaps w:val="false"/>
          <w:color w:val="000000"/>
          <w:spacing w:val="-2"/>
          <w:sz w:val="32"/>
          <w:szCs w:val="32"/>
          <w:shd w:fill="auto" w:val="clear"/>
        </w:rPr>
        <w:t>有下列情形之一的</w:t>
      </w: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，成品油使用者应当</w:t>
      </w:r>
      <w:r>
        <w:rPr>
          <w:rFonts w:ascii="仿宋_GB2312;仿宋" w:hAnsi="仿宋_GB2312;仿宋" w:cs="微软雅黑" w:eastAsia="仿宋_GB2312;仿宋"/>
          <w:b w:val="false"/>
          <w:bCs w:val="false"/>
          <w:i w:val="false"/>
          <w:iCs w:val="false"/>
          <w:color w:val="000000"/>
          <w:spacing w:val="-2"/>
          <w:kern w:val="0"/>
          <w:position w:val="0"/>
          <w:sz w:val="32"/>
          <w:szCs w:val="32"/>
          <w:vertAlign w:val="baseline"/>
        </w:rPr>
        <w:t>建立成品油管理</w:t>
      </w: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和使用</w:t>
      </w:r>
      <w:r>
        <w:rPr>
          <w:rFonts w:ascii="仿宋_GB2312;仿宋" w:hAnsi="仿宋_GB2312;仿宋" w:cs="微软雅黑" w:eastAsia="仿宋_GB2312;仿宋"/>
          <w:b w:val="false"/>
          <w:bCs w:val="false"/>
          <w:i w:val="false"/>
          <w:iCs w:val="false"/>
          <w:color w:val="000000"/>
          <w:spacing w:val="-2"/>
          <w:kern w:val="0"/>
          <w:position w:val="0"/>
          <w:sz w:val="32"/>
          <w:szCs w:val="32"/>
          <w:vertAlign w:val="baseline"/>
        </w:rPr>
        <w:t>台账，如实记录成品油来源、使用情况等信息，并实时上传至</w:t>
      </w: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本</w:t>
      </w:r>
      <w:r>
        <w:rPr>
          <w:rFonts w:ascii="仿宋_GB2312;仿宋" w:hAnsi="仿宋_GB2312;仿宋" w:cs="微软雅黑" w:eastAsia="仿宋_GB2312;仿宋"/>
          <w:b w:val="false"/>
          <w:bCs w:val="false"/>
          <w:i w:val="false"/>
          <w:iCs w:val="false"/>
          <w:color w:val="000000"/>
          <w:spacing w:val="-2"/>
          <w:kern w:val="0"/>
          <w:position w:val="0"/>
          <w:sz w:val="32"/>
          <w:szCs w:val="32"/>
          <w:vertAlign w:val="baseline"/>
        </w:rPr>
        <w:t>市成品油智慧化监控信息平台</w:t>
      </w: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（一）</w:t>
      </w:r>
      <w:r>
        <w:rPr>
          <w:rFonts w:ascii="仿宋_GB2312;仿宋" w:hAnsi="仿宋_GB2312;仿宋" w:cs="仿宋_GB2312;仿宋" w:hint="eastAsia" w:eastAsia="仿宋_GB2312;仿宋"/>
          <w:color w:val="000000"/>
          <w:sz w:val="32"/>
          <w:szCs w:val="32"/>
        </w:rPr>
        <w:t>使用成品油零售经营者直接配送的成品油；</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（二）使用橇装式加油装置；</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（三）建设工地、作业渔船、营运车辆需要使用成品油；</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（四）</w:t>
      </w:r>
      <w:r>
        <w:rPr>
          <w:rFonts w:ascii="仿宋_GB2312;仿宋" w:hAnsi="仿宋_GB2312;仿宋" w:cs="微软雅黑" w:eastAsia="仿宋_GB2312;仿宋"/>
          <w:b w:val="false"/>
          <w:bCs w:val="false"/>
          <w:i w:val="false"/>
          <w:iCs w:val="false"/>
          <w:color w:val="000000"/>
          <w:spacing w:val="-2"/>
          <w:kern w:val="0"/>
          <w:position w:val="0"/>
          <w:sz w:val="32"/>
          <w:szCs w:val="32"/>
          <w:vertAlign w:val="baseline"/>
        </w:rPr>
        <w:t>房屋建筑、市政基础设施等工程建设项目需要设置、使用成品油存储设备设施</w:t>
      </w:r>
      <w:r>
        <w:rPr>
          <w:rFonts w:ascii="仿宋_GB2312;仿宋" w:hAnsi="仿宋_GB2312;仿宋" w:cs="仿宋_GB2312;仿宋" w:hint="eastAsia" w:eastAsia="仿宋_GB2312;仿宋"/>
          <w:color w:val="000000"/>
          <w:sz w:val="32"/>
          <w:szCs w:val="32"/>
        </w:rPr>
        <w:t>。</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color w:val="000000"/>
          <w:spacing w:val="-2"/>
          <w:sz w:val="32"/>
          <w:szCs w:val="32"/>
          <w:highlight w:val="none"/>
        </w:rPr>
      </w:pPr>
      <w:r>
        <w:rPr>
          <w:rFonts w:ascii="黑体" w:hAnsi="黑体" w:cs="黑体" w:hint="eastAsia" w:eastAsia="黑体"/>
          <w:color w:val="000000"/>
          <w:spacing w:val="-2"/>
          <w:sz w:val="32"/>
          <w:szCs w:val="32"/>
        </w:rPr>
        <w:t>第十</w:t>
      </w:r>
      <w:r>
        <w:rPr>
          <w:rFonts w:ascii="黑体" w:hAnsi="黑体" w:cs="黑体" w:eastAsia="黑体"/>
          <w:color w:val="000000"/>
          <w:spacing w:val="-2"/>
          <w:sz w:val="32"/>
          <w:szCs w:val="32"/>
        </w:rPr>
        <w:t>七</w:t>
      </w:r>
      <w:r>
        <w:rPr>
          <w:rFonts w:ascii="黑体" w:hAnsi="黑体" w:cs="黑体" w:hint="eastAsia" w:eastAsia="黑体"/>
          <w:color w:val="000000"/>
          <w:spacing w:val="-2"/>
          <w:sz w:val="32"/>
          <w:szCs w:val="32"/>
        </w:rPr>
        <w:t>条</w:t>
      </w:r>
      <w:r>
        <w:rPr>
          <w:rFonts w:ascii="仿宋_GB2312;仿宋" w:hAnsi="仿宋_GB2312;仿宋" w:cs="微软雅黑" w:hint="eastAsia" w:eastAsia="仿宋_GB2312;仿宋"/>
          <w:color w:val="000000"/>
          <w:spacing w:val="-2"/>
          <w:sz w:val="32"/>
          <w:szCs w:val="32"/>
        </w:rPr>
        <w:t xml:space="preserve">  </w:t>
      </w:r>
      <w:r>
        <w:rPr>
          <w:rFonts w:ascii="仿宋_GB2312;仿宋" w:hAnsi="仿宋_GB2312;仿宋" w:cs="微软雅黑" w:eastAsia="仿宋_GB2312;仿宋"/>
          <w:color w:val="000000"/>
          <w:spacing w:val="-2"/>
          <w:sz w:val="32"/>
          <w:szCs w:val="32"/>
        </w:rPr>
        <w:t>有下列情形之一的，依法经检测、验收后，可以设置</w:t>
      </w:r>
      <w:r>
        <w:rPr>
          <w:rFonts w:ascii="仿宋_GB2312;仿宋" w:hAnsi="仿宋_GB2312;仿宋" w:cs="微软雅黑" w:hint="eastAsia" w:eastAsia="仿宋_GB2312;仿宋"/>
          <w:color w:val="000000"/>
          <w:spacing w:val="-2"/>
          <w:sz w:val="32"/>
          <w:szCs w:val="32"/>
        </w:rPr>
        <w:t>或者使用</w:t>
      </w:r>
      <w:r>
        <w:rPr>
          <w:rFonts w:ascii="仿宋_GB2312;仿宋" w:hAnsi="仿宋_GB2312;仿宋" w:cs="微软雅黑" w:eastAsia="仿宋_GB2312;仿宋"/>
          <w:color w:val="000000"/>
          <w:spacing w:val="-2"/>
          <w:sz w:val="32"/>
          <w:szCs w:val="32"/>
        </w:rPr>
        <w:t>符合国家相关强制性规定的</w:t>
      </w:r>
      <w:r>
        <w:rPr>
          <w:rFonts w:ascii="仿宋_GB2312;仿宋" w:hAnsi="仿宋_GB2312;仿宋" w:cs="微软雅黑" w:hint="eastAsia" w:eastAsia="仿宋_GB2312;仿宋"/>
          <w:color w:val="000000"/>
          <w:spacing w:val="-2"/>
          <w:sz w:val="32"/>
          <w:szCs w:val="32"/>
        </w:rPr>
        <w:t>橇装</w:t>
      </w:r>
      <w:r>
        <w:rPr>
          <w:rFonts w:ascii="仿宋_GB2312;仿宋" w:hAnsi="仿宋_GB2312;仿宋" w:cs="微软雅黑" w:eastAsia="仿宋_GB2312;仿宋"/>
          <w:color w:val="000000"/>
          <w:spacing w:val="-2"/>
          <w:sz w:val="32"/>
          <w:szCs w:val="32"/>
        </w:rPr>
        <w:t>式加油装置：</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（一）</w:t>
      </w:r>
      <w:r>
        <w:rPr>
          <w:rFonts w:ascii="仿宋_GB2312;仿宋" w:hAnsi="仿宋_GB2312;仿宋" w:cs="微软雅黑" w:eastAsia="仿宋_GB2312;仿宋"/>
          <w:color w:val="000000"/>
          <w:spacing w:val="-2"/>
          <w:sz w:val="32"/>
          <w:szCs w:val="32"/>
        </w:rPr>
        <w:t>机动车（船）加注成品油确有困难</w:t>
      </w:r>
      <w:r>
        <w:rPr>
          <w:rFonts w:ascii="仿宋_GB2312;仿宋" w:hAnsi="仿宋_GB2312;仿宋" w:cs="微软雅黑" w:eastAsia="仿宋_GB2312;仿宋"/>
          <w:color w:val="000000"/>
          <w:spacing w:val="-2"/>
          <w:sz w:val="32"/>
          <w:szCs w:val="32"/>
        </w:rPr>
        <w:t>；</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（二）</w:t>
      </w:r>
      <w:r>
        <w:rPr>
          <w:rFonts w:ascii="仿宋_GB2312;仿宋" w:hAnsi="仿宋_GB2312;仿宋" w:cs="微软雅黑" w:eastAsia="仿宋_GB2312;仿宋"/>
          <w:color w:val="000000"/>
          <w:spacing w:val="-2"/>
          <w:sz w:val="32"/>
          <w:szCs w:val="32"/>
        </w:rPr>
        <w:t>建设工地、工业厂区</w:t>
      </w:r>
      <w:r>
        <w:rPr>
          <w:rFonts w:ascii="仿宋_GB2312;仿宋" w:hAnsi="仿宋_GB2312;仿宋" w:cs="微软雅黑" w:hint="eastAsia" w:eastAsia="仿宋_GB2312;仿宋"/>
          <w:color w:val="000000"/>
          <w:spacing w:val="-2"/>
          <w:sz w:val="32"/>
          <w:szCs w:val="32"/>
        </w:rPr>
        <w:t>因</w:t>
      </w:r>
      <w:r>
        <w:rPr>
          <w:rFonts w:ascii="仿宋_GB2312;仿宋" w:hAnsi="仿宋_GB2312;仿宋" w:cs="微软雅黑" w:eastAsia="仿宋_GB2312;仿宋"/>
          <w:color w:val="000000"/>
          <w:spacing w:val="-2"/>
          <w:sz w:val="32"/>
          <w:szCs w:val="32"/>
        </w:rPr>
        <w:t>行业生产确需使用</w:t>
      </w:r>
      <w:r>
        <w:rPr>
          <w:rFonts w:ascii="仿宋_GB2312;仿宋" w:hAnsi="仿宋_GB2312;仿宋" w:cs="微软雅黑" w:eastAsia="仿宋_GB2312;仿宋"/>
          <w:color w:val="000000"/>
          <w:spacing w:val="-2"/>
          <w:sz w:val="32"/>
          <w:szCs w:val="32"/>
        </w:rPr>
        <w:t>；</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（三）</w:t>
      </w:r>
      <w:r>
        <w:rPr>
          <w:rFonts w:ascii="仿宋_GB2312;仿宋" w:hAnsi="仿宋_GB2312;仿宋" w:cs="微软雅黑" w:eastAsia="仿宋_GB2312;仿宋"/>
          <w:color w:val="000000"/>
          <w:spacing w:val="-2"/>
          <w:sz w:val="32"/>
          <w:szCs w:val="32"/>
        </w:rPr>
        <w:t>抢险救灾、重大应急工程等特殊</w:t>
      </w:r>
      <w:r>
        <w:rPr>
          <w:rFonts w:ascii="仿宋_GB2312;仿宋" w:hAnsi="仿宋_GB2312;仿宋" w:cs="微软雅黑" w:hint="eastAsia" w:eastAsia="仿宋_GB2312;仿宋"/>
          <w:color w:val="000000"/>
          <w:spacing w:val="-2"/>
          <w:sz w:val="32"/>
          <w:szCs w:val="32"/>
        </w:rPr>
        <w:t>情况需要</w:t>
      </w:r>
      <w:r>
        <w:rPr>
          <w:rFonts w:ascii="仿宋_GB2312;仿宋" w:hAnsi="仿宋_GB2312;仿宋" w:cs="微软雅黑" w:eastAsia="仿宋_GB2312;仿宋"/>
          <w:color w:val="000000"/>
          <w:spacing w:val="-2"/>
          <w:sz w:val="32"/>
          <w:szCs w:val="32"/>
        </w:rPr>
        <w:t>。</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依照前款第三项规定设置橇装式加油装置的，在特殊情况消失后，应当立即拆除橇装式加油装置。</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kern w:val="0"/>
          <w:sz w:val="32"/>
          <w:szCs w:val="32"/>
          <w:highlight w:val="none"/>
        </w:rPr>
      </w:pPr>
      <w:r>
        <w:rPr>
          <w:rFonts w:ascii="黑体" w:hAnsi="黑体" w:cs="Arial" w:hint="eastAsia" w:eastAsia="黑体"/>
          <w:bCs/>
          <w:color w:val="000000"/>
          <w:kern w:val="0"/>
          <w:sz w:val="32"/>
          <w:szCs w:val="32"/>
        </w:rPr>
        <w:t>第十</w:t>
      </w:r>
      <w:r>
        <w:rPr>
          <w:rFonts w:ascii="黑体" w:hAnsi="黑体" w:cs="Arial" w:eastAsia="黑体"/>
          <w:bCs/>
          <w:color w:val="000000"/>
          <w:kern w:val="0"/>
          <w:sz w:val="32"/>
          <w:szCs w:val="32"/>
        </w:rPr>
        <w:t>八</w:t>
      </w:r>
      <w:r>
        <w:rPr>
          <w:rFonts w:ascii="黑体" w:hAnsi="黑体" w:cs="Arial" w:hint="eastAsia" w:eastAsia="黑体"/>
          <w:bCs/>
          <w:color w:val="000000"/>
          <w:kern w:val="0"/>
          <w:sz w:val="32"/>
          <w:szCs w:val="32"/>
        </w:rPr>
        <w:t xml:space="preserve">条  </w:t>
      </w:r>
      <w:r>
        <w:rPr>
          <w:rFonts w:ascii="仿宋_GB2312;仿宋" w:hAnsi="仿宋_GB2312;仿宋" w:cs="仿宋_GB2312;仿宋" w:hint="eastAsia" w:eastAsia="仿宋_GB2312;仿宋"/>
          <w:color w:val="000000"/>
          <w:sz w:val="32"/>
          <w:szCs w:val="32"/>
        </w:rPr>
        <w:t>成品油零售经营者直接配送的成品油、橇装式加油装置加注的成品油，只能用于工地或者企业内特定的车辆、机械、设备</w:t>
      </w:r>
      <w:r>
        <w:rPr>
          <w:rFonts w:ascii="仿宋_GB2312;仿宋" w:hAnsi="仿宋_GB2312;仿宋" w:cs="微软雅黑" w:hint="eastAsia" w:eastAsia="仿宋_GB2312;仿宋"/>
          <w:color w:val="000000"/>
          <w:spacing w:val="-2"/>
          <w:kern w:val="0"/>
          <w:sz w:val="32"/>
          <w:szCs w:val="32"/>
        </w:rPr>
        <w:t>。</w:t>
      </w:r>
    </w:p>
    <w:p>
      <w:pPr>
        <w:pStyle w:val="Style16"/>
        <w:keepNext w:val="false"/>
        <w:keepLines w:val="false"/>
        <w:pageBreakBefore w:val="false"/>
        <w:widowControl w:val="false"/>
        <w:numPr>
          <w:ilvl w:val="0"/>
          <w:numId w:val="0"/>
        </w:numPr>
        <w:shd w:fill="FFFFFF" w:val="clear"/>
        <w:kinsoku w:val="true"/>
        <w:overflowPunct w:val="true"/>
        <w:autoSpaceDE w:val="true"/>
        <w:bidi w:val="0"/>
        <w:snapToGrid w:val="false"/>
        <w:spacing w:lineRule="exact" w:line="560"/>
        <w:ind w:firstLineChars="200" w:startChars="0" w:start="0" w:endChars="0" w:end="0"/>
        <w:rPr>
          <w:color w:val="000000"/>
          <w:highlight w:val="none"/>
        </w:rPr>
      </w:pPr>
      <w:r>
        <w:rPr>
          <w:rFonts w:ascii="黑体" w:hAnsi="黑体" w:cs="黑体" w:hint="eastAsia" w:eastAsia="黑体"/>
          <w:b w:val="false"/>
          <w:bCs w:val="false"/>
          <w:i w:val="false"/>
          <w:iCs w:val="false"/>
          <w:color w:val="000000"/>
          <w:spacing w:val="-2"/>
          <w:kern w:val="0"/>
          <w:position w:val="0"/>
          <w:sz w:val="32"/>
          <w:szCs w:val="32"/>
          <w:vertAlign w:val="baseline"/>
        </w:rPr>
        <w:t>第十</w:t>
      </w:r>
      <w:r>
        <w:rPr>
          <w:rFonts w:ascii="黑体" w:hAnsi="黑体" w:cs="黑体" w:eastAsia="黑体"/>
          <w:b w:val="false"/>
          <w:bCs w:val="false"/>
          <w:i w:val="false"/>
          <w:iCs w:val="false"/>
          <w:color w:val="000000"/>
          <w:spacing w:val="-2"/>
          <w:kern w:val="0"/>
          <w:position w:val="0"/>
          <w:sz w:val="32"/>
          <w:szCs w:val="32"/>
          <w:vertAlign w:val="baseline"/>
        </w:rPr>
        <w:t>九</w:t>
      </w:r>
      <w:r>
        <w:rPr>
          <w:rFonts w:ascii="黑体" w:hAnsi="黑体" w:cs="黑体" w:hint="eastAsia" w:eastAsia="黑体"/>
          <w:b w:val="false"/>
          <w:bCs w:val="false"/>
          <w:i w:val="false"/>
          <w:iCs w:val="false"/>
          <w:color w:val="000000"/>
          <w:spacing w:val="-2"/>
          <w:kern w:val="0"/>
          <w:position w:val="0"/>
          <w:sz w:val="32"/>
          <w:szCs w:val="32"/>
          <w:vertAlign w:val="baseline"/>
        </w:rPr>
        <w:t>条</w:t>
      </w: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 xml:space="preserve">  因房屋建筑、市政基础设施等工程建设项目需要设置、使用成品油存储设备设施的，应当按照相关规定办理审批手续，符合相关技术规范要求，并向所在地商务部门备案。因工程建设项目完工或者其他原因不再使用成品油存储设备设施的，应当及时拆除并向备案部门报告。</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仿宋_GB2312;仿宋"/>
          <w:color w:val="000000"/>
          <w:sz w:val="32"/>
          <w:szCs w:val="32"/>
          <w:highlight w:val="none"/>
        </w:rPr>
      </w:pPr>
      <w:r>
        <w:rPr>
          <w:rFonts w:ascii="黑体" w:hAnsi="黑体" w:cs="Arial" w:hint="eastAsia" w:eastAsia="黑体"/>
          <w:bCs/>
          <w:color w:val="000000"/>
          <w:kern w:val="0"/>
          <w:sz w:val="32"/>
          <w:szCs w:val="32"/>
        </w:rPr>
        <w:t>第</w:t>
      </w:r>
      <w:r>
        <w:rPr>
          <w:rFonts w:ascii="黑体" w:hAnsi="黑体" w:cs="Arial" w:eastAsia="黑体"/>
          <w:bCs/>
          <w:color w:val="000000"/>
          <w:kern w:val="0"/>
          <w:sz w:val="32"/>
          <w:szCs w:val="32"/>
        </w:rPr>
        <w:t>二</w:t>
      </w:r>
      <w:r>
        <w:rPr>
          <w:rFonts w:ascii="黑体" w:hAnsi="黑体" w:cs="Arial" w:hint="eastAsia" w:eastAsia="黑体"/>
          <w:bCs/>
          <w:color w:val="000000"/>
          <w:kern w:val="0"/>
          <w:sz w:val="32"/>
          <w:szCs w:val="32"/>
        </w:rPr>
        <w:t xml:space="preserve">十条  </w:t>
      </w:r>
      <w:r>
        <w:rPr>
          <w:rFonts w:ascii="仿宋_GB2312;仿宋" w:hAnsi="仿宋_GB2312;仿宋" w:cs="仿宋_GB2312;仿宋" w:hint="eastAsia" w:eastAsia="仿宋_GB2312;仿宋"/>
          <w:color w:val="000000"/>
          <w:sz w:val="32"/>
          <w:szCs w:val="32"/>
        </w:rPr>
        <w:t>道路运输经营者应当建立内部车用成品油监督管理制度，采取有效措施加强管理，并保留加油票据以备查验，不得购买、使用无合法来源的成品油。</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auto"/>
        <w:rPr>
          <w:rFonts w:ascii="仿宋_GB2312;仿宋" w:hAnsi="仿宋_GB2312;仿宋" w:eastAsia="仿宋_GB2312;仿宋" w:cs="仿宋_GB2312;仿宋"/>
          <w:color w:val="000000"/>
          <w:sz w:val="32"/>
          <w:szCs w:val="32"/>
          <w:highlight w:val="none"/>
        </w:rPr>
      </w:pPr>
      <w:r>
        <w:rPr>
          <w:rFonts w:ascii="黑体" w:hAnsi="黑体" w:cs="Arial" w:hint="eastAsia" w:eastAsia="黑体"/>
          <w:bCs/>
          <w:color w:val="000000"/>
          <w:sz w:val="32"/>
          <w:szCs w:val="32"/>
        </w:rPr>
        <w:t>第二十</w:t>
      </w:r>
      <w:r>
        <w:rPr>
          <w:rFonts w:ascii="黑体" w:hAnsi="黑体" w:cs="Arial" w:eastAsia="黑体"/>
          <w:bCs/>
          <w:color w:val="000000"/>
          <w:sz w:val="32"/>
          <w:szCs w:val="32"/>
        </w:rPr>
        <w:t>一</w:t>
      </w:r>
      <w:r>
        <w:rPr>
          <w:rFonts w:ascii="黑体" w:hAnsi="黑体" w:cs="Arial" w:hint="eastAsia" w:eastAsia="黑体"/>
          <w:bCs/>
          <w:color w:val="000000"/>
          <w:sz w:val="32"/>
          <w:szCs w:val="32"/>
        </w:rPr>
        <w:t xml:space="preserve">条  </w:t>
      </w:r>
      <w:r>
        <w:rPr>
          <w:rFonts w:ascii="仿宋_GB2312;仿宋" w:hAnsi="仿宋_GB2312;仿宋" w:cs="仿宋_GB2312;仿宋" w:hint="eastAsia" w:eastAsia="仿宋_GB2312;仿宋"/>
          <w:color w:val="000000"/>
          <w:sz w:val="32"/>
          <w:szCs w:val="32"/>
        </w:rPr>
        <w:t>在本市管辖海域航行、停泊、作业的船舶，应当使用符合规定和标准的成品油或者其他船用燃料油，并按照要求保存燃油转换记录、燃油供受单证、油类记录簿、轮机日志等燃油使用的文书资料，以备查验。</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eastAsia="仿宋_GB2312;仿宋" w:cs="微软雅黑" w:hint="eastAsia" w:ascii="仿宋_GB2312;仿宋" w:hAnsi="仿宋_GB2312;仿宋"/>
          <w:color w:val="000000"/>
          <w:spacing w:val="-2"/>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jc w:val="center"/>
        <w:textAlignment w:val="auto"/>
        <w:rPr>
          <w:rFonts w:ascii="仿宋_GB2312;仿宋" w:hAnsi="仿宋_GB2312;仿宋" w:eastAsia="黑体" w:cs="Arial" w:hint="eastAsia"/>
          <w:bCs/>
          <w:color w:val="000000"/>
          <w:kern w:val="0"/>
          <w:sz w:val="32"/>
          <w:szCs w:val="32"/>
          <w:highlight w:val="none"/>
        </w:rPr>
      </w:pPr>
      <w:r>
        <w:rPr>
          <w:rFonts w:ascii="黑体" w:hAnsi="黑体" w:cs="Arial" w:hint="eastAsia" w:eastAsia="黑体"/>
          <w:bCs/>
          <w:color w:val="000000"/>
          <w:kern w:val="0"/>
          <w:sz w:val="32"/>
          <w:szCs w:val="32"/>
        </w:rPr>
        <w:t>第四章  监督管理措施</w:t>
      </w:r>
    </w:p>
    <w:p>
      <w:pPr>
        <w:pStyle w:val="00"/>
        <w:keepNext w:val="false"/>
        <w:keepLines w:val="false"/>
        <w:pageBreakBefore w:val="false"/>
        <w:widowControl w:val="false"/>
        <w:kinsoku w:val="true"/>
        <w:overflowPunct w:val="true"/>
        <w:autoSpaceDE w:val="true"/>
        <w:bidi w:val="0"/>
        <w:snapToGrid w:val="false"/>
        <w:spacing w:lineRule="exact" w:line="540"/>
        <w:ind w:firstLineChars="200" w:startChars="0" w:start="0" w:endChars="0" w:end="0"/>
        <w:jc w:val="both"/>
        <w:textAlignment w:val="auto"/>
        <w:rPr>
          <w:rFonts w:ascii="黑体" w:hAnsi="黑体" w:eastAsia="黑体" w:cs="Arial" w:hint="eastAsia"/>
          <w:bCs/>
          <w:color w:val="000000"/>
          <w:kern w:val="0"/>
          <w:sz w:val="32"/>
          <w:szCs w:val="32"/>
          <w:highlight w:val="none"/>
        </w:rPr>
      </w:pPr>
      <w:r>
        <w:rPr>
          <w:rFonts w:eastAsia="黑体" w:cs="Arial" w:hint="eastAsia" w:ascii="黑体" w:hAnsi="黑体"/>
          <w:bCs/>
          <w:color w:val="000000"/>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auto"/>
        <w:rPr>
          <w:rFonts w:ascii="黑体" w:hAnsi="黑体" w:eastAsia="黑体" w:cs="Arial"/>
          <w:bCs/>
          <w:color w:val="000000"/>
          <w:kern w:val="0"/>
          <w:sz w:val="32"/>
          <w:szCs w:val="32"/>
          <w:highlight w:val="none"/>
        </w:rPr>
      </w:pPr>
      <w:r>
        <w:rPr>
          <w:rFonts w:ascii="黑体" w:hAnsi="黑体" w:cs="Arial" w:hint="eastAsia" w:eastAsia="黑体"/>
          <w:bCs/>
          <w:color w:val="000000"/>
          <w:kern w:val="0"/>
          <w:sz w:val="32"/>
          <w:szCs w:val="32"/>
        </w:rPr>
        <w:t>第二十</w:t>
      </w:r>
      <w:r>
        <w:rPr>
          <w:rFonts w:ascii="黑体" w:hAnsi="黑体" w:cs="Arial" w:eastAsia="黑体"/>
          <w:bCs/>
          <w:color w:val="000000"/>
          <w:kern w:val="0"/>
          <w:sz w:val="32"/>
          <w:szCs w:val="32"/>
        </w:rPr>
        <w:t>二</w:t>
      </w:r>
      <w:r>
        <w:rPr>
          <w:rFonts w:ascii="黑体" w:hAnsi="黑体" w:cs="Arial" w:hint="eastAsia" w:eastAsia="黑体"/>
          <w:bCs/>
          <w:color w:val="000000"/>
          <w:kern w:val="0"/>
          <w:sz w:val="32"/>
          <w:szCs w:val="32"/>
        </w:rPr>
        <w:t xml:space="preserve">条  </w:t>
      </w:r>
      <w:r>
        <w:rPr>
          <w:rFonts w:ascii="仿宋_GB2312;仿宋" w:hAnsi="仿宋_GB2312;仿宋" w:cs="微软雅黑" w:hint="eastAsia" w:eastAsia="仿宋_GB2312;仿宋"/>
          <w:color w:val="000000"/>
          <w:spacing w:val="-2"/>
          <w:kern w:val="0"/>
          <w:sz w:val="32"/>
          <w:szCs w:val="32"/>
        </w:rPr>
        <w:t>市发展改革部门应当组织商务、市场监管、住房和建设、应急管理、</w:t>
      </w:r>
      <w:r>
        <w:rPr>
          <w:rFonts w:hint="eastAsia" w:eastAsia="仿宋_GB2312;仿宋"/>
          <w:color w:val="000000"/>
          <w:sz w:val="32"/>
          <w:szCs w:val="32"/>
        </w:rPr>
        <w:t>政务服务数据管理</w:t>
      </w:r>
      <w:r>
        <w:rPr>
          <w:rFonts w:ascii="仿宋_GB2312;仿宋" w:hAnsi="仿宋_GB2312;仿宋" w:cs="微软雅黑" w:hint="eastAsia" w:eastAsia="仿宋_GB2312;仿宋"/>
          <w:color w:val="000000"/>
          <w:spacing w:val="-2"/>
          <w:kern w:val="0"/>
          <w:sz w:val="32"/>
          <w:szCs w:val="32"/>
        </w:rPr>
        <w:t>等部门共同建立本市成品油智慧化监控信息平台，依托城市大数据中心归集和统计成品油来源、存储管理及使用流向、成品油质量检测数据、运输单证、非道路移动机械成品油使用管理等台账，实现成品油全链条追踪溯源。</w:t>
      </w:r>
    </w:p>
    <w:p>
      <w:pPr>
        <w:pStyle w:val="00"/>
        <w:keepNext w:val="false"/>
        <w:keepLines w:val="false"/>
        <w:pageBreakBefore w:val="false"/>
        <w:widowControl w:val="false"/>
        <w:shd w:fill="FFFFFF" w:val="clear"/>
        <w:kinsoku w:val="true"/>
        <w:overflowPunct w:val="true"/>
        <w:autoSpaceDE w:val="true"/>
        <w:bidi w:val="0"/>
        <w:snapToGrid w:val="false"/>
        <w:spacing w:lineRule="exact" w:line="540"/>
        <w:ind w:firstLineChars="200" w:startChars="0" w:start="0" w:endChars="0" w:end="0"/>
        <w:jc w:val="both"/>
        <w:textAlignment w:val="auto"/>
        <w:rPr>
          <w:rFonts w:ascii="Calibri" w:hAnsi="Calibri" w:cs="Calibri"/>
          <w:color w:val="000000"/>
          <w:szCs w:val="22"/>
          <w:highlight w:val="none"/>
        </w:rPr>
      </w:pPr>
      <w:r>
        <w:rPr>
          <w:rFonts w:ascii="黑体" w:hAnsi="黑体" w:cs="Arial" w:hint="eastAsia" w:eastAsia="黑体"/>
          <w:bCs/>
          <w:color w:val="000000"/>
          <w:kern w:val="0"/>
          <w:sz w:val="32"/>
          <w:szCs w:val="32"/>
        </w:rPr>
        <w:t>第二十</w:t>
      </w:r>
      <w:r>
        <w:rPr>
          <w:rFonts w:ascii="黑体" w:hAnsi="黑体" w:cs="Arial" w:eastAsia="黑体"/>
          <w:bCs/>
          <w:color w:val="000000"/>
          <w:kern w:val="0"/>
          <w:sz w:val="32"/>
          <w:szCs w:val="32"/>
        </w:rPr>
        <w:t>三</w:t>
      </w:r>
      <w:r>
        <w:rPr>
          <w:rFonts w:ascii="黑体" w:hAnsi="黑体" w:cs="Arial" w:hint="eastAsia" w:eastAsia="黑体"/>
          <w:bCs/>
          <w:color w:val="000000"/>
          <w:kern w:val="0"/>
          <w:sz w:val="32"/>
          <w:szCs w:val="32"/>
        </w:rPr>
        <w:t xml:space="preserve">条  </w:t>
      </w:r>
      <w:r>
        <w:rPr>
          <w:rFonts w:ascii="仿宋_GB2312;仿宋" w:hAnsi="仿宋_GB2312;仿宋" w:cs="微软雅黑" w:hint="eastAsia" w:eastAsia="仿宋_GB2312;仿宋"/>
          <w:bCs w:val="false"/>
          <w:color w:val="000000"/>
          <w:spacing w:val="-2"/>
          <w:kern w:val="0"/>
          <w:sz w:val="32"/>
          <w:szCs w:val="32"/>
        </w:rPr>
        <w:t>市</w:t>
      </w:r>
      <w:r>
        <w:rPr>
          <w:rFonts w:ascii="仿宋_GB2312;仿宋" w:hAnsi="仿宋_GB2312;仿宋" w:cs="微软雅黑" w:hint="eastAsia" w:eastAsia="仿宋_GB2312;仿宋"/>
          <w:color w:val="000000"/>
          <w:spacing w:val="-2"/>
          <w:kern w:val="0"/>
          <w:sz w:val="32"/>
          <w:szCs w:val="32"/>
        </w:rPr>
        <w:t>市场监管、海洋渔业和海事部门应当按照职责对成品油质量进行抽检，并定期发布抽检结果，依法查处经营、使用不符合国家标准的成品油等违法行为。</w:t>
      </w:r>
    </w:p>
    <w:p>
      <w:pPr>
        <w:pStyle w:val="msonormalcxsplast"/>
        <w:keepNext w:val="false"/>
        <w:keepLines w:val="false"/>
        <w:pageBreakBefore w:val="false"/>
        <w:widowControl w:val="false"/>
        <w:shd w:fill="FFFFFF" w:val="clear"/>
        <w:kinsoku w:val="true"/>
        <w:overflowPunct w:val="true"/>
        <w:autoSpaceDE w:val="true"/>
        <w:bidi w:val="0"/>
        <w:snapToGrid w:val="false"/>
        <w:spacing w:lineRule="exact" w:line="54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highlight w:val="none"/>
        </w:rPr>
      </w:pPr>
      <w:r>
        <w:rPr>
          <w:rFonts w:ascii="黑体" w:hAnsi="黑体" w:cs="Arial" w:hint="eastAsia" w:eastAsia="黑体"/>
          <w:bCs/>
          <w:color w:val="000000"/>
          <w:sz w:val="32"/>
          <w:szCs w:val="32"/>
        </w:rPr>
        <w:t>第二十</w:t>
      </w:r>
      <w:r>
        <w:rPr>
          <w:rFonts w:ascii="黑体" w:hAnsi="黑体" w:cs="Arial" w:eastAsia="黑体"/>
          <w:bCs/>
          <w:color w:val="000000"/>
          <w:sz w:val="32"/>
          <w:szCs w:val="32"/>
        </w:rPr>
        <w:t>四</w:t>
      </w:r>
      <w:r>
        <w:rPr>
          <w:rFonts w:ascii="黑体" w:hAnsi="黑体" w:cs="Arial" w:hint="eastAsia" w:eastAsia="黑体"/>
          <w:bCs/>
          <w:color w:val="000000"/>
          <w:sz w:val="32"/>
          <w:szCs w:val="32"/>
        </w:rPr>
        <w:t xml:space="preserve">条  </w:t>
      </w:r>
      <w:r>
        <w:rPr>
          <w:rFonts w:ascii="仿宋_GB2312;仿宋" w:hAnsi="仿宋_GB2312;仿宋" w:cs="仿宋_GB2312;仿宋" w:hint="eastAsia" w:eastAsia="仿宋_GB2312;仿宋"/>
          <w:bCs w:val="false"/>
          <w:color w:val="000000"/>
          <w:sz w:val="32"/>
          <w:szCs w:val="32"/>
        </w:rPr>
        <w:t>市</w:t>
      </w:r>
      <w:r>
        <w:rPr>
          <w:rFonts w:ascii="仿宋_GB2312;仿宋" w:hAnsi="仿宋_GB2312;仿宋" w:cs="仿宋_GB2312;仿宋" w:hint="eastAsia" w:eastAsia="仿宋_GB2312;仿宋"/>
          <w:color w:val="000000"/>
          <w:sz w:val="32"/>
          <w:szCs w:val="32"/>
        </w:rPr>
        <w:t>商务部门应当每年定期组织</w:t>
      </w:r>
      <w:r>
        <w:rPr>
          <w:rFonts w:ascii="仿宋_GB2312;仿宋" w:hAnsi="仿宋_GB2312;仿宋" w:cs="微软雅黑" w:hint="eastAsia" w:eastAsia="仿宋_GB2312;仿宋"/>
          <w:color w:val="000000"/>
          <w:spacing w:val="-2"/>
          <w:sz w:val="32"/>
          <w:szCs w:val="32"/>
        </w:rPr>
        <w:t>对成品油零售经营者的年度检查，并</w:t>
      </w:r>
      <w:r>
        <w:rPr>
          <w:rFonts w:ascii="仿宋_GB2312;仿宋" w:hAnsi="仿宋_GB2312;仿宋" w:cs="仿宋_GB2312;仿宋" w:hint="eastAsia" w:eastAsia="仿宋_GB2312;仿宋"/>
          <w:color w:val="000000"/>
          <w:sz w:val="32"/>
          <w:szCs w:val="32"/>
        </w:rPr>
        <w:t>将取得成品油零售经营许可的经营者名单和变更、撤销、注销、年检等经营信息实时上传至本市成品油智慧化监控信息平台，向社会公开发布。</w:t>
      </w:r>
    </w:p>
    <w:p>
      <w:pPr>
        <w:pStyle w:val="msonormalcxsplast"/>
        <w:keepNext w:val="false"/>
        <w:keepLines w:val="false"/>
        <w:pageBreakBefore w:val="false"/>
        <w:widowControl w:val="false"/>
        <w:shd w:fill="FFFFFF" w:val="clear"/>
        <w:kinsoku w:val="true"/>
        <w:overflowPunct w:val="true"/>
        <w:autoSpaceDE w:val="true"/>
        <w:bidi w:val="0"/>
        <w:snapToGrid w:val="false"/>
        <w:spacing w:lineRule="exact" w:line="540"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highlight w:val="none"/>
        </w:rPr>
      </w:pPr>
      <w:r>
        <w:rPr>
          <w:rFonts w:ascii="黑体" w:hAnsi="黑体" w:cs="Arial" w:hint="eastAsia" w:eastAsia="黑体"/>
          <w:bCs/>
          <w:color w:val="000000"/>
          <w:sz w:val="32"/>
          <w:szCs w:val="32"/>
        </w:rPr>
        <w:t>第二十</w:t>
      </w:r>
      <w:r>
        <w:rPr>
          <w:rFonts w:ascii="黑体" w:hAnsi="黑体" w:cs="Arial" w:eastAsia="黑体"/>
          <w:bCs/>
          <w:color w:val="000000"/>
          <w:sz w:val="32"/>
          <w:szCs w:val="32"/>
        </w:rPr>
        <w:t>五</w:t>
      </w:r>
      <w:r>
        <w:rPr>
          <w:rFonts w:ascii="黑体" w:hAnsi="黑体" w:cs="Arial" w:hint="eastAsia" w:eastAsia="黑体"/>
          <w:bCs/>
          <w:color w:val="000000"/>
          <w:sz w:val="32"/>
          <w:szCs w:val="32"/>
        </w:rPr>
        <w:t xml:space="preserve">条  </w:t>
      </w:r>
      <w:r>
        <w:rPr>
          <w:rFonts w:ascii="仿宋_GB2312;仿宋" w:hAnsi="仿宋_GB2312;仿宋" w:cs="仿宋_GB2312;仿宋" w:hint="eastAsia" w:eastAsia="仿宋_GB2312;仿宋"/>
          <w:color w:val="000000"/>
          <w:sz w:val="32"/>
          <w:szCs w:val="32"/>
        </w:rPr>
        <w:t>市应急管理部门应当对抢险救灾、重大应急工程等特殊情况下使用的橇装式加油装置进行安全监督检查，防范违规操作使用，并</w:t>
      </w:r>
      <w:r>
        <w:rPr>
          <w:rFonts w:ascii="仿宋_GB2312;仿宋" w:hAnsi="仿宋_GB2312;仿宋" w:cs="微软雅黑" w:hint="eastAsia" w:eastAsia="仿宋_GB2312;仿宋"/>
          <w:color w:val="000000"/>
          <w:spacing w:val="-2"/>
          <w:sz w:val="32"/>
          <w:szCs w:val="32"/>
        </w:rPr>
        <w:t>在特殊情况消失后督促拆除橇装式加油装置。</w:t>
      </w:r>
    </w:p>
    <w:p>
      <w:pPr>
        <w:pStyle w:val="msonormalcxsplast"/>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微软雅黑" w:hint="eastAsia"/>
          <w:color w:val="000000"/>
          <w:spacing w:val="-2"/>
          <w:sz w:val="32"/>
          <w:szCs w:val="32"/>
          <w:highlight w:val="none"/>
        </w:rPr>
      </w:pPr>
      <w:r>
        <w:rPr>
          <w:rFonts w:ascii="黑体" w:hAnsi="黑体" w:cs="Arial" w:hint="eastAsia" w:eastAsia="黑体"/>
          <w:bCs/>
          <w:color w:val="000000"/>
          <w:sz w:val="32"/>
          <w:szCs w:val="32"/>
        </w:rPr>
        <w:t>第二十</w:t>
      </w:r>
      <w:r>
        <w:rPr>
          <w:rFonts w:ascii="黑体" w:hAnsi="黑体" w:cs="Arial" w:eastAsia="黑体"/>
          <w:bCs/>
          <w:color w:val="000000"/>
          <w:sz w:val="32"/>
          <w:szCs w:val="32"/>
        </w:rPr>
        <w:t>六</w:t>
      </w:r>
      <w:r>
        <w:rPr>
          <w:rFonts w:ascii="黑体" w:hAnsi="黑体" w:cs="Arial" w:hint="eastAsia" w:eastAsia="黑体"/>
          <w:bCs/>
          <w:color w:val="000000"/>
          <w:sz w:val="32"/>
          <w:szCs w:val="32"/>
        </w:rPr>
        <w:t xml:space="preserve">条  </w:t>
      </w:r>
      <w:r>
        <w:rPr>
          <w:rFonts w:ascii="仿宋_GB2312;仿宋" w:hAnsi="仿宋_GB2312;仿宋" w:cs="微软雅黑" w:hint="eastAsia" w:eastAsia="仿宋_GB2312;仿宋"/>
          <w:color w:val="000000"/>
          <w:spacing w:val="-2"/>
          <w:kern w:val="0"/>
          <w:sz w:val="32"/>
          <w:szCs w:val="32"/>
        </w:rPr>
        <w:t>街道办事处应当对辖区内使用成品油存储设备设施、橇装式加油装置的单位和其他重点场所开展日常巡查，并及时向</w:t>
      </w:r>
      <w:r>
        <w:rPr>
          <w:rFonts w:ascii="仿宋_GB2312;仿宋" w:hAnsi="仿宋_GB2312;仿宋" w:cs="微软雅黑" w:hint="eastAsia" w:eastAsia="仿宋_GB2312;仿宋"/>
          <w:color w:val="000000"/>
          <w:spacing w:val="-2"/>
          <w:sz w:val="32"/>
          <w:szCs w:val="32"/>
        </w:rPr>
        <w:t>负有成品油监督管理职责的部门</w:t>
      </w:r>
      <w:r>
        <w:rPr>
          <w:rFonts w:ascii="仿宋_GB2312;仿宋" w:hAnsi="仿宋_GB2312;仿宋" w:cs="微软雅黑" w:hint="eastAsia" w:eastAsia="仿宋_GB2312;仿宋"/>
          <w:color w:val="000000"/>
          <w:spacing w:val="-2"/>
          <w:kern w:val="0"/>
          <w:sz w:val="32"/>
          <w:szCs w:val="32"/>
        </w:rPr>
        <w:t>通报相关情况。</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黑体" w:hAnsi="黑体" w:cs="Arial" w:hint="eastAsia" w:eastAsia="黑体"/>
          <w:bCs/>
          <w:color w:val="000000"/>
          <w:sz w:val="32"/>
          <w:szCs w:val="32"/>
        </w:rPr>
        <w:t xml:space="preserve">第二十七条  </w:t>
      </w:r>
      <w:r>
        <w:rPr>
          <w:rFonts w:ascii="仿宋_GB2312;仿宋" w:hAnsi="仿宋_GB2312;仿宋" w:cs="微软雅黑" w:hint="eastAsia" w:eastAsia="仿宋_GB2312;仿宋"/>
          <w:color w:val="000000"/>
          <w:spacing w:val="-2"/>
          <w:sz w:val="32"/>
          <w:szCs w:val="32"/>
        </w:rPr>
        <w:t>违反本条例相关规定，有下列情形之一的，负有成品油监督管理职责的部门可以依法对有关成品油、原材料及相关设施、设备和场所进行查封、扣押：</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（一）违法经营、运输成品油的；</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（二）使用无合法来源或者不符合规定、标准的成品油或者原材料的；</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（三）擅自设置或者使用罐体、箱体等设备设施存储成品油的；</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（四）擅自设置或者使用橇装式加油装置的；</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（五）法律、法规规定的其他情形。</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市市场监管部门应当会同商务、公安、应急管理、交通运输、生态环境等部门建立查封、扣押协同处理处置机制。市商务部门应当建立成品油、原材料及相关设备、设施保管机构名录，市公安交警部门应当协调扣押车辆存放地点，市应急管理部门应当配合相关设备、设施拆除及保管工作。保管机构和车辆存放场所管理机构应当配合相关部门执法。</w:t>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被查封、扣押的成品油存在泄漏、燃烧、爆炸等事故风险或者</w:t>
      </w:r>
      <w:r>
        <w:rPr>
          <w:rFonts w:ascii="仿宋_GB2312;仿宋" w:hAnsi="仿宋_GB2312;仿宋" w:cs="微软雅黑" w:eastAsia="仿宋_GB2312;仿宋"/>
          <w:color w:val="000000"/>
          <w:spacing w:val="-2"/>
          <w:kern w:val="0"/>
          <w:sz w:val="32"/>
          <w:szCs w:val="32"/>
        </w:rPr>
        <w:t>短期内容易变质</w:t>
      </w:r>
      <w:r>
        <w:rPr>
          <w:rFonts w:ascii="仿宋_GB2312;仿宋" w:hAnsi="仿宋_GB2312;仿宋" w:cs="微软雅黑" w:hint="eastAsia" w:eastAsia="仿宋_GB2312;仿宋"/>
          <w:color w:val="000000"/>
          <w:spacing w:val="-2"/>
          <w:kern w:val="0"/>
          <w:sz w:val="32"/>
          <w:szCs w:val="32"/>
        </w:rPr>
        <w:t>的，经查封、扣押部门主要负责人批准，可以在留存证据后依法拍卖或者变卖。</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黑体" w:hAnsi="黑体" w:cs="Arial" w:hint="eastAsia" w:eastAsia="黑体"/>
          <w:bCs/>
          <w:color w:val="000000"/>
          <w:sz w:val="32"/>
          <w:szCs w:val="32"/>
        </w:rPr>
        <w:t xml:space="preserve">第二十八条  </w:t>
      </w:r>
      <w:r>
        <w:rPr>
          <w:rFonts w:ascii="仿宋_GB2312;仿宋" w:hAnsi="仿宋_GB2312;仿宋" w:cs="微软雅黑" w:hint="eastAsia" w:eastAsia="仿宋_GB2312;仿宋"/>
          <w:color w:val="000000"/>
          <w:spacing w:val="-2"/>
          <w:sz w:val="32"/>
          <w:szCs w:val="32"/>
        </w:rPr>
        <w:t>各相关部门应当按照相关规定，将成品油违法行为信息纳入本市公共信用信息系统。</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对存在成品油经营失信行为的经营者，相关部门应当实行重点监管，并依法实施联合惩戒。</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color w:val="000000"/>
          <w:spacing w:val="-2"/>
          <w:sz w:val="32"/>
          <w:szCs w:val="32"/>
          <w:highlight w:val="none"/>
        </w:rPr>
      </w:pPr>
      <w:r>
        <w:rPr>
          <w:rFonts w:ascii="黑体" w:hAnsi="黑体" w:cs="Arial" w:hint="eastAsia" w:eastAsia="黑体"/>
          <w:bCs/>
          <w:color w:val="000000"/>
          <w:sz w:val="32"/>
          <w:szCs w:val="32"/>
        </w:rPr>
        <w:t xml:space="preserve">第二十九条  </w:t>
      </w:r>
      <w:r>
        <w:rPr>
          <w:rFonts w:ascii="仿宋_GB2312;仿宋" w:hAnsi="仿宋_GB2312;仿宋" w:cs="微软雅黑" w:hint="eastAsia" w:eastAsia="仿宋_GB2312;仿宋"/>
          <w:color w:val="000000"/>
          <w:spacing w:val="-2"/>
          <w:sz w:val="32"/>
          <w:szCs w:val="32"/>
        </w:rPr>
        <w:t>任何单位和个人发现违法经营、使用成品油的，有权向相关部门举报。</w:t>
      </w:r>
    </w:p>
    <w:p>
      <w:pPr>
        <w:pStyle w:val="00"/>
        <w:keepNext w:val="false"/>
        <w:keepLines w:val="false"/>
        <w:pageBreakBefore w:val="false"/>
        <w:widowControl w:val="false"/>
        <w:shd w:fill="FFFFFF" w:val="clear"/>
        <w:tabs>
          <w:tab w:val="clear" w:pos="420"/>
          <w:tab w:val="left" w:pos="840" w:leader="none"/>
        </w:tabs>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建设工地、物流园区、工业园区、港口码头、停车场、闲置厂房等场地经营者、管理者，应当对其经营管理范围内的场地、建筑、车辆、设备等情况进行监督，发现违法经营、使用成品油的，应当立即向所在地街道办事处或者</w:t>
      </w:r>
      <w:r>
        <w:rPr>
          <w:rFonts w:ascii="仿宋_GB2312;仿宋" w:hAnsi="仿宋_GB2312;仿宋" w:cs="微软雅黑" w:hint="eastAsia" w:eastAsia="仿宋_GB2312;仿宋"/>
          <w:color w:val="000000"/>
          <w:spacing w:val="-2"/>
          <w:sz w:val="32"/>
          <w:szCs w:val="32"/>
        </w:rPr>
        <w:t>相关部门</w:t>
      </w:r>
      <w:r>
        <w:rPr>
          <w:rFonts w:ascii="仿宋_GB2312;仿宋" w:hAnsi="仿宋_GB2312;仿宋" w:cs="微软雅黑" w:hint="eastAsia" w:eastAsia="仿宋_GB2312;仿宋"/>
          <w:color w:val="000000"/>
          <w:spacing w:val="-2"/>
          <w:kern w:val="0"/>
          <w:sz w:val="32"/>
          <w:szCs w:val="32"/>
        </w:rPr>
        <w:t>报告，配合相关部门开展排查整治和执法。</w:t>
      </w:r>
    </w:p>
    <w:p>
      <w:pPr>
        <w:pStyle w:val="BodyText"/>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rPr>
          <w:color w:val="000000"/>
          <w:highlight w:val="none"/>
        </w:rPr>
      </w:pPr>
      <w:r>
        <w:rPr>
          <w:rFonts w:ascii="仿宋_GB2312;仿宋" w:hAnsi="仿宋_GB2312;仿宋" w:cs="微软雅黑" w:hint="eastAsia" w:eastAsia="仿宋_GB2312;仿宋"/>
          <w:color w:val="000000"/>
          <w:spacing w:val="-2"/>
          <w:kern w:val="0"/>
          <w:sz w:val="32"/>
          <w:szCs w:val="32"/>
        </w:rPr>
        <w:t>相关部门</w:t>
      </w:r>
      <w:r>
        <w:rPr>
          <w:rFonts w:ascii="仿宋_GB2312;仿宋" w:hAnsi="仿宋_GB2312;仿宋" w:cs="微软雅黑" w:hint="eastAsia" w:eastAsia="仿宋_GB2312;仿宋"/>
          <w:color w:val="000000"/>
          <w:spacing w:val="-2"/>
          <w:sz w:val="32"/>
          <w:szCs w:val="32"/>
        </w:rPr>
        <w:t>应当对投诉举报线索依法及时调查核实，并为举报人保密。必要时应当请求公安机关采取措施保护举报人的安全。</w:t>
      </w:r>
    </w:p>
    <w:p>
      <w:pPr>
        <w:pStyle w:val="00"/>
        <w:keepNext w:val="false"/>
        <w:keepLines w:val="false"/>
        <w:pageBreakBefore w:val="false"/>
        <w:widowControl w:val="false"/>
        <w:shd w:fill="FFFFFF" w:val="clear"/>
        <w:tabs>
          <w:tab w:val="clear" w:pos="420"/>
          <w:tab w:val="left" w:pos="840" w:leader="none"/>
        </w:tabs>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kern w:val="0"/>
          <w:sz w:val="32"/>
          <w:szCs w:val="32"/>
          <w:highlight w:val="none"/>
        </w:rPr>
      </w:pPr>
      <w:r>
        <w:rPr>
          <w:rFonts w:eastAsia="仿宋_GB2312;仿宋" w:cs="微软雅黑" w:hint="eastAsia" w:ascii="仿宋_GB2312;仿宋" w:hAnsi="仿宋_GB2312;仿宋"/>
          <w:color w:val="000000"/>
          <w:spacing w:val="-2"/>
          <w:kern w:val="0"/>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jc w:val="center"/>
        <w:textAlignment w:val="auto"/>
        <w:rPr>
          <w:rFonts w:ascii="黑体" w:hAnsi="黑体" w:eastAsia="黑体" w:cs="Arial"/>
          <w:bCs/>
          <w:color w:val="000000"/>
          <w:kern w:val="0"/>
          <w:sz w:val="32"/>
          <w:szCs w:val="32"/>
          <w:highlight w:val="none"/>
        </w:rPr>
      </w:pPr>
      <w:r>
        <w:rPr>
          <w:rFonts w:ascii="黑体" w:hAnsi="黑体" w:cs="Arial" w:hint="eastAsia" w:eastAsia="黑体"/>
          <w:bCs/>
          <w:color w:val="000000"/>
          <w:kern w:val="0"/>
          <w:sz w:val="32"/>
          <w:szCs w:val="32"/>
        </w:rPr>
        <w:t>第五章  法律责任</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Arial" w:hint="eastAsia"/>
          <w:bCs/>
          <w:color w:val="000000"/>
          <w:kern w:val="0"/>
          <w:sz w:val="32"/>
          <w:szCs w:val="32"/>
          <w:highlight w:val="none"/>
        </w:rPr>
      </w:pPr>
      <w:r>
        <w:rPr>
          <w:rFonts w:eastAsia="黑体" w:cs="Arial" w:hint="eastAsia" w:ascii="黑体" w:hAnsi="黑体"/>
          <w:bCs/>
          <w:color w:val="000000"/>
          <w:kern w:val="0"/>
          <w:sz w:val="32"/>
          <w:szCs w:val="32"/>
        </w:rPr>
      </w:r>
    </w:p>
    <w:p>
      <w:pPr>
        <w:pStyle w:val="8"/>
        <w:keepNext w:val="false"/>
        <w:keepLines w:val="false"/>
        <w:pageBreakBefore w:val="false"/>
        <w:widowControl w:val="false"/>
        <w:kinsoku w:val="true"/>
        <w:overflowPunct w:val="true"/>
        <w:autoSpaceDE w:val="true"/>
        <w:bidi w:val="0"/>
        <w:spacing w:lineRule="exact" w:line="560"/>
        <w:ind w:firstLineChars="200" w:startChars="0" w:start="0" w:endChars="0" w:end="0"/>
        <w:rPr>
          <w:rFonts w:hint="eastAsia"/>
          <w:color w:val="000000"/>
          <w:highlight w:val="none"/>
        </w:rPr>
      </w:pPr>
      <w:r>
        <w:rPr>
          <w:rFonts w:ascii="黑体" w:hAnsi="黑体" w:cs="Arial" w:hint="eastAsia" w:eastAsia="黑体"/>
          <w:bCs/>
          <w:color w:val="000000"/>
          <w:sz w:val="32"/>
          <w:szCs w:val="32"/>
        </w:rPr>
        <w:t xml:space="preserve">第三十条  </w:t>
      </w:r>
      <w:r>
        <w:rPr>
          <w:rFonts w:ascii="仿宋_GB2312;仿宋" w:hAnsi="仿宋_GB2312;仿宋" w:cs="仿宋_GB2312;仿宋" w:hint="eastAsia" w:eastAsia="仿宋_GB2312;仿宋"/>
          <w:bCs/>
          <w:color w:val="000000"/>
          <w:sz w:val="32"/>
          <w:szCs w:val="32"/>
        </w:rPr>
        <w:t>违反本条例第十条第一款规定，成品油经营者采购不符合国家和地方质量标准的成品油的，由市场监管部门没收不符合国家质量标准的成品油，</w:t>
      </w:r>
      <w:r>
        <w:rPr>
          <w:rFonts w:ascii="仿宋_GB2312;仿宋" w:hAnsi="仿宋_GB2312;仿宋" w:cs="仿宋_GB2312;仿宋" w:hint="eastAsia" w:eastAsia="仿宋_GB2312;仿宋"/>
          <w:bCs/>
          <w:i w:val="false"/>
          <w:caps w:val="false"/>
          <w:smallCaps w:val="false"/>
          <w:color w:val="000000"/>
          <w:spacing w:val="0"/>
          <w:sz w:val="32"/>
          <w:szCs w:val="32"/>
          <w:shd w:fill="auto" w:val="clear"/>
        </w:rPr>
        <w:t>并处货值金额等值以上三倍以下的罚款；有违法所得的，并处没收违法所得</w:t>
      </w:r>
      <w:r>
        <w:rPr>
          <w:rFonts w:ascii="仿宋_GB2312;仿宋" w:hAnsi="仿宋_GB2312;仿宋" w:cs="仿宋_GB2312;仿宋" w:hint="eastAsia" w:eastAsia="仿宋_GB2312;仿宋"/>
          <w:bCs/>
          <w:color w:val="000000"/>
          <w:sz w:val="32"/>
          <w:szCs w:val="32"/>
        </w:rPr>
        <w:t>。</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Arial" w:hint="eastAsia"/>
          <w:bCs/>
          <w:color w:val="000000"/>
          <w:sz w:val="32"/>
          <w:szCs w:val="32"/>
          <w:highlight w:val="none"/>
        </w:rPr>
      </w:pPr>
      <w:r>
        <w:rPr>
          <w:rFonts w:ascii="仿宋_GB2312;仿宋" w:hAnsi="仿宋_GB2312;仿宋" w:cs="微软雅黑" w:hint="eastAsia" w:eastAsia="仿宋_GB2312;仿宋"/>
          <w:color w:val="000000"/>
          <w:spacing w:val="-2"/>
          <w:sz w:val="32"/>
          <w:szCs w:val="32"/>
        </w:rPr>
        <w:t>违反本条例第十条第二款规定，</w:t>
      </w:r>
      <w:r>
        <w:rPr>
          <w:rFonts w:ascii="仿宋_GB2312;仿宋" w:hAnsi="仿宋_GB2312;仿宋" w:cs="仿宋_GB2312;仿宋" w:hint="eastAsia" w:eastAsia="仿宋_GB2312;仿宋"/>
          <w:bCs/>
          <w:color w:val="000000"/>
          <w:sz w:val="32"/>
          <w:szCs w:val="32"/>
        </w:rPr>
        <w:t>成品油经营者</w:t>
      </w:r>
      <w:r>
        <w:rPr>
          <w:rFonts w:ascii="仿宋_GB2312;仿宋" w:hAnsi="仿宋_GB2312;仿宋" w:cs="微软雅黑" w:hint="eastAsia" w:eastAsia="仿宋_GB2312;仿宋"/>
          <w:color w:val="000000"/>
          <w:spacing w:val="-2"/>
          <w:sz w:val="32"/>
          <w:szCs w:val="32"/>
        </w:rPr>
        <w:t>未按照规定</w:t>
      </w:r>
      <w:r>
        <w:rPr>
          <w:rFonts w:ascii="仿宋_GB2312;仿宋" w:hAnsi="仿宋_GB2312;仿宋" w:cs="仿宋_GB2312;仿宋" w:hint="eastAsia" w:eastAsia="仿宋_GB2312;仿宋"/>
          <w:bCs/>
          <w:i w:val="false"/>
          <w:caps w:val="false"/>
          <w:smallCaps w:val="false"/>
          <w:color w:val="000000"/>
          <w:spacing w:val="0"/>
          <w:sz w:val="32"/>
          <w:szCs w:val="32"/>
          <w:shd w:fill="auto" w:val="clear"/>
        </w:rPr>
        <w:t>建立</w:t>
      </w:r>
      <w:r>
        <w:rPr>
          <w:rFonts w:ascii="仿宋_GB2312;仿宋" w:hAnsi="仿宋_GB2312;仿宋" w:cs="仿宋_GB2312;仿宋" w:hint="eastAsia" w:eastAsia="仿宋_GB2312;仿宋"/>
          <w:color w:val="000000"/>
          <w:sz w:val="32"/>
          <w:szCs w:val="32"/>
        </w:rPr>
        <w:t>检查验收制度或者进行成品油质量检测的，</w:t>
      </w:r>
      <w:r>
        <w:rPr>
          <w:rFonts w:ascii="仿宋_GB2312;仿宋" w:hAnsi="仿宋_GB2312;仿宋" w:cs="仿宋_GB2312;仿宋" w:hint="eastAsia" w:eastAsia="仿宋_GB2312;仿宋"/>
          <w:bCs/>
          <w:color w:val="000000"/>
          <w:sz w:val="32"/>
          <w:szCs w:val="32"/>
        </w:rPr>
        <w:t>由市场监管部门责令限期改正；逾期不改正的，处一万元以上五万元以下罚款</w:t>
      </w:r>
      <w:r>
        <w:rPr>
          <w:rFonts w:ascii="仿宋_GB2312;仿宋" w:hAnsi="仿宋_GB2312;仿宋" w:cs="微软雅黑" w:hint="eastAsia" w:eastAsia="仿宋_GB2312;仿宋"/>
          <w:color w:val="000000"/>
          <w:spacing w:val="-2"/>
          <w:sz w:val="32"/>
          <w:szCs w:val="32"/>
        </w:rPr>
        <w:t>。</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ascii="黑体" w:hAnsi="黑体" w:cs="Arial" w:hint="eastAsia" w:eastAsia="黑体"/>
          <w:bCs/>
          <w:color w:val="000000"/>
          <w:sz w:val="32"/>
          <w:szCs w:val="32"/>
        </w:rPr>
        <w:t xml:space="preserve">第三十一条  </w:t>
      </w:r>
      <w:r>
        <w:rPr>
          <w:rFonts w:ascii="仿宋_GB2312;仿宋" w:hAnsi="仿宋_GB2312;仿宋" w:cs="微软雅黑" w:hint="eastAsia" w:eastAsia="仿宋_GB2312;仿宋"/>
          <w:color w:val="000000"/>
          <w:spacing w:val="-2"/>
          <w:sz w:val="32"/>
          <w:szCs w:val="32"/>
        </w:rPr>
        <w:t>违反本条例第十一条、第十</w:t>
      </w:r>
      <w:r>
        <w:rPr>
          <w:rFonts w:ascii="仿宋_GB2312;仿宋" w:hAnsi="仿宋_GB2312;仿宋" w:cs="微软雅黑" w:eastAsia="仿宋_GB2312;仿宋"/>
          <w:color w:val="000000"/>
          <w:spacing w:val="-2"/>
          <w:sz w:val="32"/>
          <w:szCs w:val="32"/>
        </w:rPr>
        <w:t>六</w:t>
      </w:r>
      <w:r>
        <w:rPr>
          <w:rFonts w:ascii="仿宋_GB2312;仿宋" w:hAnsi="仿宋_GB2312;仿宋" w:cs="微软雅黑" w:hint="eastAsia" w:eastAsia="仿宋_GB2312;仿宋"/>
          <w:color w:val="000000"/>
          <w:spacing w:val="-2"/>
          <w:sz w:val="32"/>
          <w:szCs w:val="32"/>
        </w:rPr>
        <w:t>条规定，未建立台账及管理制度、台账记录和管理不符合规定或者未按照规定将台账上传至成品油智慧化监控信息平台的，由市场监管部门责令限期改正；逾期不改正的，处一万元以上五万元以下罚款。</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微软雅黑" w:hint="eastAsia"/>
          <w:color w:val="000000"/>
          <w:spacing w:val="-2"/>
          <w:kern w:val="0"/>
          <w:sz w:val="32"/>
          <w:szCs w:val="32"/>
          <w:highlight w:val="none"/>
        </w:rPr>
      </w:pPr>
      <w:r>
        <w:rPr>
          <w:rFonts w:ascii="黑体" w:hAnsi="黑体" w:cs="黑体" w:hint="eastAsia" w:eastAsia="黑体"/>
          <w:color w:val="000000"/>
          <w:spacing w:val="-2"/>
          <w:sz w:val="32"/>
          <w:szCs w:val="32"/>
        </w:rPr>
        <w:t>第三十二条</w:t>
      </w:r>
      <w:r>
        <w:rPr>
          <w:rFonts w:ascii="仿宋_GB2312;仿宋" w:hAnsi="仿宋_GB2312;仿宋" w:cs="微软雅黑" w:hint="eastAsia" w:eastAsia="仿宋_GB2312;仿宋"/>
          <w:color w:val="000000"/>
          <w:spacing w:val="-2"/>
          <w:sz w:val="32"/>
          <w:szCs w:val="32"/>
        </w:rPr>
        <w:t xml:space="preserve">  </w:t>
      </w:r>
      <w:r>
        <w:rPr>
          <w:rFonts w:ascii="仿宋_GB2312;仿宋" w:hAnsi="仿宋_GB2312;仿宋" w:cs="微软雅黑" w:hint="eastAsia" w:eastAsia="仿宋_GB2312;仿宋"/>
          <w:color w:val="000000"/>
          <w:spacing w:val="-2"/>
          <w:kern w:val="0"/>
          <w:sz w:val="32"/>
          <w:szCs w:val="32"/>
        </w:rPr>
        <w:t>违反本条例第十</w:t>
      </w:r>
      <w:r>
        <w:rPr>
          <w:rFonts w:ascii="仿宋_GB2312;仿宋" w:hAnsi="仿宋_GB2312;仿宋" w:cs="微软雅黑" w:eastAsia="仿宋_GB2312;仿宋"/>
          <w:color w:val="000000"/>
          <w:spacing w:val="-2"/>
          <w:kern w:val="0"/>
          <w:sz w:val="32"/>
          <w:szCs w:val="32"/>
        </w:rPr>
        <w:t>二</w:t>
      </w:r>
      <w:r>
        <w:rPr>
          <w:rFonts w:ascii="仿宋_GB2312;仿宋" w:hAnsi="仿宋_GB2312;仿宋" w:cs="微软雅黑" w:hint="eastAsia" w:eastAsia="仿宋_GB2312;仿宋"/>
          <w:color w:val="000000"/>
          <w:spacing w:val="-2"/>
          <w:kern w:val="0"/>
          <w:sz w:val="32"/>
          <w:szCs w:val="32"/>
        </w:rPr>
        <w:t>条第一款规定，</w:t>
      </w:r>
      <w:r>
        <w:rPr>
          <w:rFonts w:ascii="仿宋_GB2312;仿宋" w:hAnsi="仿宋_GB2312;仿宋" w:cs="微软雅黑" w:hint="eastAsia" w:eastAsia="仿宋_GB2312;仿宋"/>
          <w:color w:val="000000"/>
          <w:spacing w:val="-2"/>
          <w:sz w:val="32"/>
          <w:szCs w:val="32"/>
        </w:rPr>
        <w:t>储油库、加油站和油罐车未按照规定配套安装油气回收装置和在线监控系统，或者油气回收装置和在线监控系统未联网或者未保持正常使用的，由生态环境部门责令改正，处二万元以上二十万元以下的罚款；拒不改正的，责令停产整治。</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ascii="仿宋_GB2312;仿宋" w:hAnsi="仿宋_GB2312;仿宋" w:cs="微软雅黑" w:hint="eastAsia" w:eastAsia="仿宋_GB2312;仿宋"/>
          <w:color w:val="000000"/>
          <w:spacing w:val="-2"/>
          <w:sz w:val="32"/>
          <w:szCs w:val="32"/>
        </w:rPr>
        <w:t>违反本条例第十</w:t>
      </w:r>
      <w:r>
        <w:rPr>
          <w:rFonts w:ascii="仿宋_GB2312;仿宋" w:hAnsi="仿宋_GB2312;仿宋" w:cs="微软雅黑" w:eastAsia="仿宋_GB2312;仿宋"/>
          <w:color w:val="000000"/>
          <w:spacing w:val="-2"/>
          <w:sz w:val="32"/>
          <w:szCs w:val="32"/>
        </w:rPr>
        <w:t>二</w:t>
      </w:r>
      <w:r>
        <w:rPr>
          <w:rFonts w:ascii="仿宋_GB2312;仿宋" w:hAnsi="仿宋_GB2312;仿宋" w:cs="微软雅黑" w:hint="eastAsia" w:eastAsia="仿宋_GB2312;仿宋"/>
          <w:color w:val="000000"/>
          <w:spacing w:val="-2"/>
          <w:sz w:val="32"/>
          <w:szCs w:val="32"/>
        </w:rPr>
        <w:t>条第二款规定，加油站卸油未保持全过程密闭，或者卸油未实行全过程视频记录的，由生态环境部门责令限期改正；逾期不改正的，处一万元以上五万元以下罚款。</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ascii="黑体" w:hAnsi="黑体" w:cs="黑体" w:hint="eastAsia" w:eastAsia="黑体"/>
          <w:color w:val="000000"/>
          <w:spacing w:val="-2"/>
          <w:sz w:val="32"/>
          <w:szCs w:val="32"/>
        </w:rPr>
        <w:t>第</w:t>
      </w:r>
      <w:r>
        <w:rPr>
          <w:rFonts w:ascii="黑体" w:hAnsi="黑体" w:cs="黑体" w:eastAsia="黑体"/>
          <w:color w:val="000000"/>
          <w:spacing w:val="-2"/>
          <w:sz w:val="32"/>
          <w:szCs w:val="32"/>
        </w:rPr>
        <w:t>三十</w:t>
      </w:r>
      <w:r>
        <w:rPr>
          <w:rFonts w:ascii="黑体" w:hAnsi="黑体" w:cs="黑体" w:hint="eastAsia" w:eastAsia="黑体"/>
          <w:color w:val="000000"/>
          <w:spacing w:val="-2"/>
          <w:sz w:val="32"/>
          <w:szCs w:val="32"/>
        </w:rPr>
        <w:t xml:space="preserve">三条  </w:t>
      </w:r>
      <w:r>
        <w:rPr>
          <w:rFonts w:ascii="仿宋_GB2312;仿宋" w:hAnsi="仿宋_GB2312;仿宋" w:cs="微软雅黑" w:hint="eastAsia" w:eastAsia="仿宋_GB2312;仿宋"/>
          <w:color w:val="000000"/>
          <w:spacing w:val="-2"/>
          <w:sz w:val="32"/>
          <w:szCs w:val="32"/>
        </w:rPr>
        <w:t>违反本条例第十三条规定，加油站未按照规定安装和使用智能税控系统的，由税务部门按照税收征管相关规定处罚。</w:t>
      </w:r>
    </w:p>
    <w:p>
      <w:pPr>
        <w:pStyle w:val="8"/>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kern w:val="0"/>
          <w:sz w:val="32"/>
          <w:szCs w:val="32"/>
          <w:highlight w:val="none"/>
        </w:rPr>
      </w:pPr>
      <w:r>
        <w:rPr>
          <w:rFonts w:ascii="黑体" w:hAnsi="黑体" w:cs="Arial" w:hint="eastAsia" w:eastAsia="黑体"/>
          <w:bCs/>
          <w:color w:val="000000"/>
          <w:kern w:val="0"/>
          <w:sz w:val="32"/>
          <w:szCs w:val="32"/>
        </w:rPr>
        <w:t xml:space="preserve">第三十四条  </w:t>
      </w:r>
      <w:r>
        <w:rPr>
          <w:rFonts w:ascii="仿宋_GB2312;仿宋" w:hAnsi="仿宋_GB2312;仿宋" w:cs="微软雅黑" w:hint="eastAsia" w:eastAsia="仿宋_GB2312;仿宋"/>
          <w:color w:val="000000"/>
          <w:spacing w:val="-2"/>
          <w:kern w:val="0"/>
          <w:sz w:val="32"/>
          <w:szCs w:val="32"/>
        </w:rPr>
        <w:t>违反本条例第十</w:t>
      </w:r>
      <w:r>
        <w:rPr>
          <w:rFonts w:ascii="仿宋_GB2312;仿宋" w:hAnsi="仿宋_GB2312;仿宋" w:cs="微软雅黑" w:eastAsia="仿宋_GB2312;仿宋"/>
          <w:color w:val="000000"/>
          <w:spacing w:val="-2"/>
          <w:kern w:val="0"/>
          <w:sz w:val="32"/>
          <w:szCs w:val="32"/>
        </w:rPr>
        <w:t>四</w:t>
      </w:r>
      <w:r>
        <w:rPr>
          <w:rFonts w:ascii="仿宋_GB2312;仿宋" w:hAnsi="仿宋_GB2312;仿宋" w:cs="微软雅黑" w:hint="eastAsia" w:eastAsia="仿宋_GB2312;仿宋"/>
          <w:color w:val="000000"/>
          <w:spacing w:val="-2"/>
          <w:kern w:val="0"/>
          <w:sz w:val="32"/>
          <w:szCs w:val="32"/>
        </w:rPr>
        <w:t>条第一项</w:t>
      </w:r>
      <w:r>
        <w:rPr>
          <w:rFonts w:ascii="仿宋_GB2312;仿宋" w:hAnsi="仿宋_GB2312;仿宋" w:cs="微软雅黑" w:eastAsia="仿宋_GB2312;仿宋"/>
          <w:color w:val="000000"/>
          <w:spacing w:val="-2"/>
          <w:kern w:val="0"/>
          <w:sz w:val="32"/>
          <w:szCs w:val="32"/>
        </w:rPr>
        <w:t>、第二项</w:t>
      </w:r>
      <w:r>
        <w:rPr>
          <w:rFonts w:ascii="仿宋_GB2312;仿宋" w:hAnsi="仿宋_GB2312;仿宋" w:cs="微软雅黑" w:hint="eastAsia" w:eastAsia="仿宋_GB2312;仿宋"/>
          <w:color w:val="000000"/>
          <w:spacing w:val="-2"/>
          <w:kern w:val="0"/>
          <w:sz w:val="32"/>
          <w:szCs w:val="32"/>
        </w:rPr>
        <w:t>规定，擅自设置、使用罐体、箱体等设备设施存储成品油</w:t>
      </w:r>
      <w:r>
        <w:rPr>
          <w:rFonts w:ascii="仿宋_GB2312;仿宋" w:hAnsi="仿宋_GB2312;仿宋" w:cs="微软雅黑" w:eastAsia="仿宋_GB2312;仿宋"/>
          <w:color w:val="000000"/>
          <w:spacing w:val="-2"/>
          <w:kern w:val="0"/>
          <w:sz w:val="32"/>
          <w:szCs w:val="32"/>
        </w:rPr>
        <w:t>，或者非法加工、调和成品油</w:t>
      </w:r>
      <w:r>
        <w:rPr>
          <w:rFonts w:ascii="仿宋_GB2312;仿宋" w:hAnsi="仿宋_GB2312;仿宋" w:cs="微软雅黑" w:hint="eastAsia" w:eastAsia="仿宋_GB2312;仿宋"/>
          <w:color w:val="000000"/>
          <w:spacing w:val="-2"/>
          <w:kern w:val="0"/>
          <w:sz w:val="32"/>
          <w:szCs w:val="32"/>
        </w:rPr>
        <w:t>的，由市场监管部门责令改正，处五万元以上二十万元以下罚款。</w:t>
      </w:r>
    </w:p>
    <w:p>
      <w:pPr>
        <w:pStyle w:val="8"/>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ascii="仿宋_GB2312;仿宋" w:hAnsi="仿宋_GB2312;仿宋" w:cs="微软雅黑" w:hint="eastAsia" w:eastAsia="仿宋_GB2312;仿宋"/>
          <w:color w:val="000000"/>
          <w:spacing w:val="-2"/>
          <w:kern w:val="0"/>
          <w:sz w:val="32"/>
          <w:szCs w:val="32"/>
        </w:rPr>
        <w:t>违反本条例第十四条第</w:t>
      </w:r>
      <w:r>
        <w:rPr>
          <w:rFonts w:ascii="仿宋_GB2312;仿宋" w:hAnsi="仿宋_GB2312;仿宋" w:cs="微软雅黑" w:eastAsia="仿宋_GB2312;仿宋"/>
          <w:color w:val="000000"/>
          <w:spacing w:val="-2"/>
          <w:kern w:val="0"/>
          <w:sz w:val="32"/>
          <w:szCs w:val="32"/>
        </w:rPr>
        <w:t>三</w:t>
      </w:r>
      <w:r>
        <w:rPr>
          <w:rFonts w:ascii="仿宋_GB2312;仿宋" w:hAnsi="仿宋_GB2312;仿宋" w:cs="微软雅黑" w:hint="eastAsia" w:eastAsia="仿宋_GB2312;仿宋"/>
          <w:color w:val="000000"/>
          <w:spacing w:val="-2"/>
          <w:kern w:val="0"/>
          <w:sz w:val="32"/>
          <w:szCs w:val="32"/>
        </w:rPr>
        <w:t>项规定，</w:t>
      </w:r>
      <w:r>
        <w:rPr>
          <w:rFonts w:ascii="仿宋_GB2312;仿宋" w:hAnsi="仿宋_GB2312;仿宋" w:cs="微软雅黑" w:hint="eastAsia" w:eastAsia="仿宋_GB2312;仿宋"/>
          <w:color w:val="000000"/>
          <w:spacing w:val="-2"/>
          <w:sz w:val="32"/>
          <w:szCs w:val="32"/>
        </w:rPr>
        <w:t>未取得行政许可从事成品油运输活动的，由交通运输部门按照危险货物运输相关规定处罚。</w:t>
      </w:r>
    </w:p>
    <w:p>
      <w:pPr>
        <w:pStyle w:val="8"/>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违反本条例第十四条第</w:t>
      </w:r>
      <w:r>
        <w:rPr>
          <w:rFonts w:ascii="仿宋_GB2312;仿宋" w:hAnsi="仿宋_GB2312;仿宋" w:cs="微软雅黑" w:eastAsia="仿宋_GB2312;仿宋"/>
          <w:color w:val="000000"/>
          <w:spacing w:val="-2"/>
          <w:kern w:val="0"/>
          <w:sz w:val="32"/>
          <w:szCs w:val="32"/>
        </w:rPr>
        <w:t>四</w:t>
      </w:r>
      <w:r>
        <w:rPr>
          <w:rFonts w:ascii="仿宋_GB2312;仿宋" w:hAnsi="仿宋_GB2312;仿宋" w:cs="微软雅黑" w:hint="eastAsia" w:eastAsia="仿宋_GB2312;仿宋"/>
          <w:color w:val="000000"/>
          <w:spacing w:val="-2"/>
          <w:kern w:val="0"/>
          <w:sz w:val="32"/>
          <w:szCs w:val="32"/>
        </w:rPr>
        <w:t>项规定，由市场监管部门责令改正，没收违法所得，并处一万元以上十万元以下的罚款；拒不改正的，处十万元以上二十万元以下的罚款。</w:t>
      </w:r>
    </w:p>
    <w:p>
      <w:pPr>
        <w:pStyle w:val="8"/>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微软雅黑" w:hint="eastAsia"/>
          <w:color w:val="000000"/>
          <w:spacing w:val="-2"/>
          <w:kern w:val="0"/>
          <w:sz w:val="32"/>
          <w:szCs w:val="32"/>
          <w:highlight w:val="none"/>
        </w:rPr>
      </w:pPr>
      <w:r>
        <w:rPr>
          <w:rFonts w:ascii="仿宋_GB2312;仿宋" w:hAnsi="仿宋_GB2312;仿宋" w:cs="微软雅黑" w:hint="eastAsia" w:eastAsia="仿宋_GB2312;仿宋"/>
          <w:color w:val="000000"/>
          <w:spacing w:val="-2"/>
          <w:kern w:val="0"/>
          <w:sz w:val="32"/>
          <w:szCs w:val="32"/>
        </w:rPr>
        <w:t>违反本条例第十四条第</w:t>
      </w:r>
      <w:r>
        <w:rPr>
          <w:rFonts w:ascii="仿宋_GB2312;仿宋" w:hAnsi="仿宋_GB2312;仿宋" w:cs="微软雅黑" w:eastAsia="仿宋_GB2312;仿宋"/>
          <w:color w:val="000000"/>
          <w:spacing w:val="-2"/>
          <w:kern w:val="0"/>
          <w:sz w:val="32"/>
          <w:szCs w:val="32"/>
        </w:rPr>
        <w:t>五</w:t>
      </w:r>
      <w:r>
        <w:rPr>
          <w:rFonts w:ascii="仿宋_GB2312;仿宋" w:hAnsi="仿宋_GB2312;仿宋" w:cs="微软雅黑" w:hint="eastAsia" w:eastAsia="仿宋_GB2312;仿宋"/>
          <w:color w:val="000000"/>
          <w:spacing w:val="-2"/>
          <w:kern w:val="0"/>
          <w:sz w:val="32"/>
          <w:szCs w:val="32"/>
        </w:rPr>
        <w:t>项至第</w:t>
      </w:r>
      <w:r>
        <w:rPr>
          <w:rFonts w:ascii="仿宋_GB2312;仿宋" w:hAnsi="仿宋_GB2312;仿宋" w:cs="微软雅黑" w:eastAsia="仿宋_GB2312;仿宋"/>
          <w:color w:val="000000"/>
          <w:spacing w:val="-2"/>
          <w:kern w:val="0"/>
          <w:sz w:val="32"/>
          <w:szCs w:val="32"/>
        </w:rPr>
        <w:t>七</w:t>
      </w:r>
      <w:r>
        <w:rPr>
          <w:rFonts w:ascii="仿宋_GB2312;仿宋" w:hAnsi="仿宋_GB2312;仿宋" w:cs="微软雅黑" w:hint="eastAsia" w:eastAsia="仿宋_GB2312;仿宋"/>
          <w:color w:val="000000"/>
          <w:spacing w:val="-2"/>
          <w:kern w:val="0"/>
          <w:sz w:val="32"/>
          <w:szCs w:val="32"/>
        </w:rPr>
        <w:t>项规定，由市场监管部门责令</w:t>
      </w:r>
      <w:r>
        <w:rPr>
          <w:rFonts w:ascii="仿宋_GB2312;仿宋" w:hAnsi="仿宋_GB2312;仿宋" w:cs="微软雅黑" w:hint="eastAsia" w:eastAsia="仿宋_GB2312;仿宋"/>
          <w:color w:val="000000"/>
          <w:spacing w:val="-2"/>
          <w:kern w:val="2"/>
          <w:sz w:val="32"/>
          <w:szCs w:val="32"/>
        </w:rPr>
        <w:t>改正</w:t>
      </w:r>
      <w:r>
        <w:rPr>
          <w:rFonts w:ascii="仿宋_GB2312;仿宋" w:hAnsi="仿宋_GB2312;仿宋" w:cs="微软雅黑" w:hint="eastAsia" w:eastAsia="仿宋_GB2312;仿宋"/>
          <w:color w:val="000000"/>
          <w:spacing w:val="-2"/>
          <w:kern w:val="0"/>
          <w:sz w:val="32"/>
          <w:szCs w:val="32"/>
        </w:rPr>
        <w:t>，并处货值金额百分之五十以上三倍以下的罚款；有违法所得的，并处没收违法所得；情节严重的，依法吊销营业执照。</w:t>
      </w:r>
    </w:p>
    <w:p>
      <w:pPr>
        <w:pStyle w:val="00"/>
        <w:spacing w:lineRule="exact" w:line="560"/>
        <w:ind w:firstLineChars="200" w:startChars="0" w:start="0" w:endChars="0" w:end="0"/>
        <w:rPr>
          <w:rFonts w:ascii="黑体" w:hAnsi="黑体" w:eastAsia="黑体" w:cs="Arial" w:hint="eastAsia"/>
          <w:bCs/>
          <w:color w:val="000000"/>
          <w:sz w:val="32"/>
          <w:szCs w:val="32"/>
          <w:highlight w:val="none"/>
        </w:rPr>
      </w:pPr>
      <w:r>
        <w:rPr>
          <w:rFonts w:ascii="仿宋_GB2312;仿宋" w:hAnsi="仿宋_GB2312;仿宋" w:cs="微软雅黑" w:hint="eastAsia" w:eastAsia="仿宋_GB2312;仿宋"/>
          <w:color w:val="000000"/>
          <w:spacing w:val="-2"/>
          <w:kern w:val="0"/>
          <w:sz w:val="32"/>
          <w:szCs w:val="32"/>
        </w:rPr>
        <w:t>违反本条例第十四条第</w:t>
      </w:r>
      <w:r>
        <w:rPr>
          <w:rFonts w:ascii="仿宋_GB2312;仿宋" w:hAnsi="仿宋_GB2312;仿宋" w:cs="微软雅黑" w:eastAsia="仿宋_GB2312;仿宋"/>
          <w:color w:val="000000"/>
          <w:spacing w:val="-2"/>
          <w:kern w:val="0"/>
          <w:sz w:val="32"/>
          <w:szCs w:val="32"/>
        </w:rPr>
        <w:t>八</w:t>
      </w:r>
      <w:r>
        <w:rPr>
          <w:rFonts w:ascii="仿宋_GB2312;仿宋" w:hAnsi="仿宋_GB2312;仿宋" w:cs="微软雅黑" w:hint="eastAsia" w:eastAsia="仿宋_GB2312;仿宋"/>
          <w:color w:val="000000"/>
          <w:spacing w:val="-2"/>
          <w:kern w:val="0"/>
          <w:sz w:val="32"/>
          <w:szCs w:val="32"/>
        </w:rPr>
        <w:t>项规定，为违法经营、使用成品油活动提供场所的，由市场监管部门责令改正，处一万元以上五万元以下的罚款；情节严重的，处五万元以上十万元以下罚款。</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Arial"/>
          <w:bCs/>
          <w:color w:val="000000"/>
          <w:sz w:val="32"/>
          <w:szCs w:val="32"/>
          <w:highlight w:val="none"/>
        </w:rPr>
      </w:pPr>
      <w:r>
        <w:rPr>
          <w:rFonts w:ascii="黑体" w:hAnsi="黑体" w:cs="Arial" w:hint="eastAsia" w:eastAsia="黑体"/>
          <w:bCs/>
          <w:color w:val="000000"/>
          <w:sz w:val="32"/>
          <w:szCs w:val="32"/>
        </w:rPr>
        <w:t xml:space="preserve">第三十五条  </w:t>
      </w:r>
      <w:r>
        <w:rPr>
          <w:rFonts w:ascii="仿宋_GB2312;仿宋" w:hAnsi="仿宋_GB2312;仿宋" w:cs="微软雅黑" w:hint="eastAsia" w:eastAsia="仿宋_GB2312;仿宋"/>
          <w:color w:val="000000"/>
          <w:spacing w:val="-2"/>
          <w:sz w:val="32"/>
          <w:szCs w:val="32"/>
        </w:rPr>
        <w:t>违反本条例第十</w:t>
      </w:r>
      <w:r>
        <w:rPr>
          <w:rFonts w:ascii="仿宋_GB2312;仿宋" w:hAnsi="仿宋_GB2312;仿宋" w:cs="微软雅黑" w:eastAsia="仿宋_GB2312;仿宋"/>
          <w:color w:val="000000"/>
          <w:spacing w:val="-2"/>
          <w:sz w:val="32"/>
          <w:szCs w:val="32"/>
        </w:rPr>
        <w:t>七</w:t>
      </w:r>
      <w:r>
        <w:rPr>
          <w:rFonts w:ascii="仿宋_GB2312;仿宋" w:hAnsi="仿宋_GB2312;仿宋" w:cs="微软雅黑" w:hint="eastAsia" w:eastAsia="仿宋_GB2312;仿宋"/>
          <w:color w:val="000000"/>
          <w:spacing w:val="-2"/>
          <w:sz w:val="32"/>
          <w:szCs w:val="32"/>
        </w:rPr>
        <w:t>条规定，擅自设置或者使用橇装式加油装置的，由市场监管部门责令改正，处五万元以上二十万元以下罚款。</w:t>
      </w:r>
    </w:p>
    <w:p>
      <w:pPr>
        <w:pStyle w:val="Style16"/>
        <w:keepNext w:val="false"/>
        <w:keepLines w:val="false"/>
        <w:pageBreakBefore w:val="false"/>
        <w:widowControl w:val="false"/>
        <w:kinsoku w:val="true"/>
        <w:overflowPunct w:val="true"/>
        <w:autoSpaceDE w:val="true"/>
        <w:bidi w:val="0"/>
        <w:spacing w:lineRule="exact" w:line="560"/>
        <w:ind w:firstLineChars="200" w:startChars="0" w:start="0" w:endChars="0" w:end="0"/>
        <w:rPr>
          <w:rFonts w:ascii="仿宋_GB2312;仿宋" w:hAnsi="仿宋_GB2312;仿宋" w:eastAsia="仿宋_GB2312;仿宋" w:cs="微软雅黑" w:hint="eastAsia"/>
          <w:color w:val="000000"/>
          <w:spacing w:val="-2"/>
          <w:sz w:val="32"/>
          <w:szCs w:val="32"/>
          <w:highlight w:val="none"/>
        </w:rPr>
      </w:pPr>
      <w:r>
        <w:rPr>
          <w:rFonts w:ascii="黑体" w:hAnsi="黑体" w:cs="黑体" w:hint="eastAsia" w:eastAsia="黑体"/>
          <w:bCs w:val="false"/>
          <w:color w:val="000000"/>
          <w:spacing w:val="-2"/>
          <w:sz w:val="32"/>
          <w:szCs w:val="32"/>
        </w:rPr>
        <w:t>第三十六条</w:t>
      </w:r>
      <w:r>
        <w:rPr>
          <w:rFonts w:ascii="仿宋_GB2312;仿宋" w:hAnsi="仿宋_GB2312;仿宋" w:cs="微软雅黑" w:hint="eastAsia" w:eastAsia="仿宋_GB2312;仿宋"/>
          <w:bCs w:val="false"/>
          <w:color w:val="000000"/>
          <w:spacing w:val="-2"/>
          <w:sz w:val="32"/>
          <w:szCs w:val="32"/>
        </w:rPr>
        <w:t xml:space="preserve">  </w:t>
      </w:r>
      <w:r>
        <w:rPr>
          <w:rFonts w:ascii="仿宋_GB2312;仿宋" w:hAnsi="仿宋_GB2312;仿宋" w:cs="微软雅黑" w:hint="eastAsia" w:eastAsia="仿宋_GB2312;仿宋"/>
          <w:color w:val="000000"/>
          <w:spacing w:val="-2"/>
          <w:sz w:val="32"/>
          <w:szCs w:val="32"/>
        </w:rPr>
        <w:t>违反本条例第十</w:t>
      </w:r>
      <w:r>
        <w:rPr>
          <w:rFonts w:ascii="仿宋_GB2312;仿宋" w:hAnsi="仿宋_GB2312;仿宋" w:cs="微软雅黑" w:eastAsia="仿宋_GB2312;仿宋"/>
          <w:color w:val="000000"/>
          <w:spacing w:val="-2"/>
          <w:sz w:val="32"/>
          <w:szCs w:val="32"/>
        </w:rPr>
        <w:t>八</w:t>
      </w:r>
      <w:r>
        <w:rPr>
          <w:rFonts w:ascii="仿宋_GB2312;仿宋" w:hAnsi="仿宋_GB2312;仿宋" w:cs="微软雅黑" w:hint="eastAsia" w:eastAsia="仿宋_GB2312;仿宋"/>
          <w:color w:val="000000"/>
          <w:spacing w:val="-2"/>
          <w:sz w:val="32"/>
          <w:szCs w:val="32"/>
        </w:rPr>
        <w:t>条规定，以非法营利为目的对外转售、转赠零售经营者直接配送的成品油、橇装式加油装置加注的成品油的，由市场监管部门责令改正，并处货值金额一倍以上三倍以下的罚款；有违法所得的，并处没收违法所得；情节严重的，吊销营业执照。</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仿宋_GB2312;仿宋" w:hAnsi="仿宋_GB2312;仿宋" w:eastAsia="仿宋_GB2312;仿宋" w:cs="仿宋_GB2312;仿宋" w:hint="eastAsia"/>
          <w:bCs/>
          <w:color w:val="000000"/>
          <w:sz w:val="32"/>
          <w:szCs w:val="32"/>
          <w:highlight w:val="none"/>
        </w:rPr>
      </w:pPr>
      <w:r>
        <w:rPr>
          <w:rFonts w:ascii="黑体" w:hAnsi="黑体" w:cs="Arial" w:hint="eastAsia" w:eastAsia="黑体"/>
          <w:bCs/>
          <w:color w:val="000000"/>
          <w:sz w:val="32"/>
          <w:szCs w:val="32"/>
        </w:rPr>
        <w:t xml:space="preserve">第三十七条  </w:t>
      </w:r>
      <w:r>
        <w:rPr>
          <w:rFonts w:ascii="仿宋_GB2312;仿宋" w:hAnsi="仿宋_GB2312;仿宋" w:cs="仿宋_GB2312;仿宋" w:hint="eastAsia" w:eastAsia="仿宋_GB2312;仿宋"/>
          <w:bCs/>
          <w:color w:val="000000"/>
          <w:sz w:val="32"/>
          <w:szCs w:val="32"/>
        </w:rPr>
        <w:t>违反本条例第十</w:t>
      </w:r>
      <w:r>
        <w:rPr>
          <w:rFonts w:ascii="仿宋_GB2312;仿宋" w:hAnsi="仿宋_GB2312;仿宋" w:cs="仿宋_GB2312;仿宋" w:eastAsia="仿宋_GB2312;仿宋"/>
          <w:bCs/>
          <w:color w:val="000000"/>
          <w:sz w:val="32"/>
          <w:szCs w:val="32"/>
        </w:rPr>
        <w:t>九</w:t>
      </w:r>
      <w:r>
        <w:rPr>
          <w:rFonts w:ascii="仿宋_GB2312;仿宋" w:hAnsi="仿宋_GB2312;仿宋" w:cs="仿宋_GB2312;仿宋" w:hint="eastAsia" w:eastAsia="仿宋_GB2312;仿宋"/>
          <w:bCs/>
          <w:color w:val="000000"/>
          <w:sz w:val="32"/>
          <w:szCs w:val="32"/>
        </w:rPr>
        <w:t>条规定，</w:t>
      </w:r>
      <w:r>
        <w:rPr>
          <w:rFonts w:ascii="仿宋_GB2312;仿宋" w:hAnsi="仿宋_GB2312;仿宋" w:cs="微软雅黑" w:hint="eastAsia" w:eastAsia="仿宋_GB2312;仿宋"/>
          <w:b w:val="false"/>
          <w:bCs w:val="false"/>
          <w:i w:val="false"/>
          <w:iCs w:val="false"/>
          <w:color w:val="000000"/>
          <w:spacing w:val="-2"/>
          <w:kern w:val="0"/>
          <w:position w:val="0"/>
          <w:sz w:val="32"/>
          <w:szCs w:val="32"/>
          <w:vertAlign w:val="baseline"/>
        </w:rPr>
        <w:t>因房屋建筑、市政基础设施等工程建设项目需要设置、使用成品油存储设备设施，未按照相关规定办理审批或者备案手续的</w:t>
      </w:r>
      <w:r>
        <w:rPr>
          <w:rFonts w:ascii="仿宋_GB2312;仿宋" w:hAnsi="仿宋_GB2312;仿宋" w:cs="仿宋_GB2312;仿宋" w:hint="eastAsia" w:eastAsia="仿宋_GB2312;仿宋"/>
          <w:bCs/>
          <w:color w:val="000000"/>
          <w:sz w:val="32"/>
          <w:szCs w:val="32"/>
        </w:rPr>
        <w:t>，由负有安全生产监管责任的部门责令改正，处五万元以上二十万元以下罚款。</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ascii="黑体" w:hAnsi="黑体" w:cs="Arial" w:hint="eastAsia" w:eastAsia="黑体"/>
          <w:bCs/>
          <w:color w:val="000000"/>
          <w:sz w:val="32"/>
          <w:szCs w:val="32"/>
        </w:rPr>
        <w:t xml:space="preserve">第三十八条  </w:t>
      </w:r>
      <w:r>
        <w:rPr>
          <w:rFonts w:ascii="仿宋_GB2312;仿宋" w:hAnsi="仿宋_GB2312;仿宋" w:cs="微软雅黑" w:hint="eastAsia" w:eastAsia="仿宋_GB2312;仿宋"/>
          <w:color w:val="000000"/>
          <w:spacing w:val="-2"/>
          <w:sz w:val="32"/>
          <w:szCs w:val="32"/>
        </w:rPr>
        <w:t>违反本条例第二十</w:t>
      </w:r>
      <w:r>
        <w:rPr>
          <w:rFonts w:ascii="仿宋_GB2312;仿宋" w:hAnsi="仿宋_GB2312;仿宋" w:cs="微软雅黑" w:eastAsia="仿宋_GB2312;仿宋"/>
          <w:color w:val="000000"/>
          <w:spacing w:val="-2"/>
          <w:sz w:val="32"/>
          <w:szCs w:val="32"/>
        </w:rPr>
        <w:t>一</w:t>
      </w:r>
      <w:r>
        <w:rPr>
          <w:rFonts w:ascii="仿宋_GB2312;仿宋" w:hAnsi="仿宋_GB2312;仿宋" w:cs="微软雅黑" w:hint="eastAsia" w:eastAsia="仿宋_GB2312;仿宋"/>
          <w:color w:val="000000"/>
          <w:spacing w:val="-2"/>
          <w:sz w:val="32"/>
          <w:szCs w:val="32"/>
        </w:rPr>
        <w:t>条规定，渔业船舶使用不符合规定和标准的成品油或者其他船用燃料油的，由海洋综合执法部门责令改正，处一万元以上十万元以下罚款。</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hint="eastAsia"/>
          <w:color w:val="000000"/>
          <w:spacing w:val="-2"/>
          <w:sz w:val="32"/>
          <w:szCs w:val="32"/>
          <w:highlight w:val="none"/>
        </w:rPr>
      </w:pPr>
      <w:r>
        <w:rPr>
          <w:rFonts w:ascii="仿宋_GB2312;仿宋" w:hAnsi="仿宋_GB2312;仿宋" w:cs="微软雅黑" w:hint="eastAsia" w:eastAsia="仿宋_GB2312;仿宋"/>
          <w:color w:val="000000"/>
          <w:spacing w:val="-2"/>
          <w:sz w:val="32"/>
          <w:szCs w:val="32"/>
        </w:rPr>
        <w:t>除法律、法规另有规定的特殊船舶以外的其他船舶，使用不符合规定和标准的成品油</w:t>
      </w:r>
      <w:r>
        <w:rPr>
          <w:rFonts w:ascii="仿宋_GB2312;仿宋" w:hAnsi="仿宋_GB2312;仿宋" w:cs="仿宋_GB2312;仿宋" w:hint="eastAsia" w:eastAsia="仿宋_GB2312;仿宋"/>
          <w:color w:val="000000"/>
          <w:sz w:val="32"/>
          <w:szCs w:val="32"/>
        </w:rPr>
        <w:t>或者其他船用燃料油</w:t>
      </w:r>
      <w:r>
        <w:rPr>
          <w:rFonts w:ascii="仿宋_GB2312;仿宋" w:hAnsi="仿宋_GB2312;仿宋" w:cs="微软雅黑" w:hint="eastAsia" w:eastAsia="仿宋_GB2312;仿宋"/>
          <w:color w:val="000000"/>
          <w:spacing w:val="-2"/>
          <w:sz w:val="32"/>
          <w:szCs w:val="32"/>
        </w:rPr>
        <w:t>的，由海事部门责令改正，处一万元以上十万元以下罚款。</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仿宋_GB2312;仿宋" w:hAnsi="仿宋_GB2312;仿宋" w:eastAsia="仿宋_GB2312;仿宋" w:cs="微软雅黑"/>
          <w:color w:val="000000"/>
          <w:spacing w:val="-2"/>
          <w:sz w:val="32"/>
          <w:szCs w:val="32"/>
          <w:highlight w:val="none"/>
        </w:rPr>
      </w:pPr>
      <w:r>
        <w:rPr>
          <w:rFonts w:ascii="仿宋_GB2312;仿宋" w:hAnsi="仿宋_GB2312;仿宋" w:cs="微软雅黑" w:hint="eastAsia" w:eastAsia="仿宋_GB2312;仿宋"/>
          <w:color w:val="000000"/>
          <w:spacing w:val="-2"/>
          <w:sz w:val="32"/>
          <w:szCs w:val="32"/>
        </w:rPr>
        <w:t>船舶未按照要求保存燃油供受单证、油类记录簿等燃油使用文书资料的，由海事部门责令改正，处二千元以上二万元以下罚款；船舶未按照要求保存燃油转换记录的，由海事部门责令改正。</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rPr>
          <w:rFonts w:ascii="黑体" w:hAnsi="黑体" w:eastAsia="黑体" w:cs="Arial" w:hint="eastAsia"/>
          <w:bCs/>
          <w:color w:val="000000"/>
          <w:spacing w:val="-2"/>
          <w:sz w:val="32"/>
          <w:szCs w:val="32"/>
          <w:highlight w:val="none"/>
        </w:rPr>
      </w:pPr>
      <w:r>
        <w:rPr>
          <w:rFonts w:eastAsia="黑体" w:cs="Arial" w:hint="eastAsia" w:ascii="黑体" w:hAnsi="黑体"/>
          <w:bCs/>
          <w:color w:val="000000"/>
          <w:spacing w:val="-2"/>
          <w:sz w:val="32"/>
          <w:szCs w:val="32"/>
        </w:rPr>
      </w:r>
    </w:p>
    <w:p>
      <w:pPr>
        <w:pStyle w:val="00"/>
        <w:keepNext w:val="false"/>
        <w:keepLines w:val="false"/>
        <w:pageBreakBefore w:val="false"/>
        <w:widowControl w:val="false"/>
        <w:shd w:fill="FFFFFF" w:val="clear"/>
        <w:kinsoku w:val="true"/>
        <w:overflowPunct w:val="true"/>
        <w:autoSpaceDE w:val="true"/>
        <w:bidi w:val="0"/>
        <w:snapToGrid w:val="false"/>
        <w:spacing w:lineRule="exact" w:line="560"/>
        <w:jc w:val="center"/>
        <w:textAlignment w:val="auto"/>
        <w:rPr>
          <w:rFonts w:ascii="黑体" w:hAnsi="黑体" w:eastAsia="黑体" w:cs="Arial" w:hint="eastAsia"/>
          <w:bCs/>
          <w:color w:val="000000"/>
          <w:kern w:val="0"/>
          <w:sz w:val="32"/>
          <w:szCs w:val="32"/>
          <w:highlight w:val="none"/>
        </w:rPr>
      </w:pPr>
      <w:r>
        <w:rPr>
          <w:rFonts w:ascii="黑体" w:hAnsi="黑体" w:cs="Arial" w:hint="eastAsia" w:eastAsia="黑体"/>
          <w:bCs/>
          <w:color w:val="000000"/>
          <w:kern w:val="0"/>
          <w:sz w:val="32"/>
          <w:szCs w:val="32"/>
        </w:rPr>
        <w:t>第六章  附则</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60"/>
        <w:ind w:firstLineChars="200" w:startChars="0" w:start="0" w:endChars="0" w:end="0"/>
        <w:jc w:val="both"/>
        <w:textAlignment w:val="auto"/>
        <w:rPr>
          <w:rFonts w:ascii="黑体" w:hAnsi="黑体" w:eastAsia="黑体" w:cs="Arial" w:hint="eastAsia"/>
          <w:bCs/>
          <w:color w:val="000000"/>
          <w:kern w:val="0"/>
          <w:sz w:val="32"/>
          <w:szCs w:val="32"/>
          <w:highlight w:val="none"/>
        </w:rPr>
      </w:pPr>
      <w:r>
        <w:rPr>
          <w:rFonts w:eastAsia="黑体" w:cs="Arial" w:hint="eastAsia" w:ascii="黑体" w:hAnsi="黑体"/>
          <w:bCs/>
          <w:color w:val="000000"/>
          <w:kern w:val="0"/>
          <w:sz w:val="32"/>
          <w:szCs w:val="32"/>
        </w:rPr>
      </w:r>
    </w:p>
    <w:p>
      <w:pPr>
        <w:pStyle w:val="Normal"/>
        <w:ind w:firstLineChars="200" w:startChars="0" w:start="0" w:endChars="0" w:end="0"/>
        <w:rPr>
          <w:rFonts w:ascii="仿宋_GB2312;仿宋" w:hAnsi="仿宋_GB2312;仿宋" w:eastAsia="仿宋_GB2312;仿宋" w:cs="微软雅黑" w:hint="eastAsia"/>
          <w:color w:val="000000"/>
          <w:spacing w:val="-2"/>
          <w:sz w:val="32"/>
          <w:szCs w:val="32"/>
          <w:highlight w:val="none"/>
        </w:rPr>
      </w:pPr>
      <w:r>
        <w:rPr>
          <w:rFonts w:ascii="黑体" w:hAnsi="黑体" w:cs="Arial" w:hint="eastAsia" w:eastAsia="黑体"/>
          <w:bCs/>
          <w:color w:val="000000"/>
          <w:sz w:val="32"/>
          <w:szCs w:val="32"/>
        </w:rPr>
        <w:t xml:space="preserve">第三十九条  </w:t>
      </w:r>
      <w:r>
        <w:rPr>
          <w:rFonts w:ascii="仿宋_GB2312;仿宋" w:hAnsi="仿宋_GB2312;仿宋" w:cs="微软雅黑" w:hint="eastAsia" w:eastAsia="仿宋_GB2312;仿宋"/>
          <w:color w:val="000000"/>
          <w:spacing w:val="-2"/>
          <w:sz w:val="32"/>
          <w:szCs w:val="32"/>
        </w:rPr>
        <w:t>本条例自</w:t>
      </w:r>
      <w:r>
        <w:rPr>
          <w:rFonts w:eastAsia="仿宋_GB2312;仿宋" w:cs="微软雅黑" w:hint="eastAsia" w:ascii="仿宋_GB2312;仿宋" w:hAnsi="仿宋_GB2312;仿宋"/>
          <w:color w:val="000000"/>
          <w:spacing w:val="-2"/>
          <w:sz w:val="32"/>
          <w:szCs w:val="32"/>
        </w:rPr>
        <w:t>2023</w:t>
      </w:r>
      <w:r>
        <w:rPr>
          <w:rFonts w:ascii="仿宋_GB2312;仿宋" w:hAnsi="仿宋_GB2312;仿宋" w:cs="微软雅黑" w:hint="eastAsia" w:eastAsia="仿宋_GB2312;仿宋"/>
          <w:color w:val="000000"/>
          <w:spacing w:val="-2"/>
          <w:sz w:val="32"/>
          <w:szCs w:val="32"/>
        </w:rPr>
        <w:t>年</w:t>
      </w:r>
      <w:r>
        <w:rPr>
          <w:rFonts w:eastAsia="仿宋_GB2312;仿宋" w:cs="微软雅黑" w:hint="eastAsia" w:ascii="仿宋_GB2312;仿宋" w:hAnsi="仿宋_GB2312;仿宋"/>
          <w:color w:val="000000"/>
          <w:spacing w:val="-2"/>
          <w:sz w:val="32"/>
          <w:szCs w:val="32"/>
        </w:rPr>
        <w:t>9</w:t>
      </w:r>
      <w:r>
        <w:rPr>
          <w:rFonts w:ascii="仿宋_GB2312;仿宋" w:hAnsi="仿宋_GB2312;仿宋" w:cs="微软雅黑" w:hint="eastAsia" w:eastAsia="仿宋_GB2312;仿宋"/>
          <w:color w:val="000000"/>
          <w:spacing w:val="-2"/>
          <w:sz w:val="32"/>
          <w:szCs w:val="32"/>
        </w:rPr>
        <w:t>月</w:t>
      </w:r>
      <w:r>
        <w:rPr>
          <w:rFonts w:eastAsia="仿宋_GB2312;仿宋" w:cs="微软雅黑" w:hint="eastAsia" w:ascii="仿宋_GB2312;仿宋" w:hAnsi="仿宋_GB2312;仿宋"/>
          <w:color w:val="000000"/>
          <w:spacing w:val="-2"/>
          <w:sz w:val="32"/>
          <w:szCs w:val="32"/>
        </w:rPr>
        <w:t>1</w:t>
      </w:r>
      <w:r>
        <w:rPr>
          <w:rFonts w:ascii="仿宋_GB2312;仿宋" w:hAnsi="仿宋_GB2312;仿宋" w:cs="微软雅黑" w:hint="eastAsia" w:eastAsia="仿宋_GB2312;仿宋"/>
          <w:color w:val="000000"/>
          <w:spacing w:val="-2"/>
          <w:sz w:val="32"/>
          <w:szCs w:val="32"/>
        </w:rPr>
        <w:t>日起施行。</w:t>
      </w:r>
    </w:p>
    <w:p>
      <w:pPr>
        <w:pStyle w:val="Normal"/>
        <w:rPr>
          <w:rFonts w:ascii="仿宋_GB2312;仿宋" w:hAnsi="仿宋_GB2312;仿宋" w:eastAsia="仿宋_GB2312;仿宋" w:cs="微软雅黑" w:hint="eastAsia"/>
          <w:color w:val="000000"/>
          <w:spacing w:val="-2"/>
          <w:sz w:val="32"/>
          <w:szCs w:val="32"/>
          <w:highlight w:val="none"/>
        </w:rPr>
      </w:pPr>
      <w:r>
        <w:rPr>
          <w:rFonts w:eastAsia="仿宋_GB2312;仿宋" w:cs="微软雅黑" w:hint="eastAsia" w:ascii="仿宋_GB2312;仿宋" w:hAnsi="仿宋_GB2312;仿宋"/>
          <w:color w:val="000000"/>
          <w:spacing w:val="-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auto"/>
    <w:pitch w:val="default"/>
  </w:font>
  <w:font w:name="宋体">
    <w:charset w:val="86"/>
    <w:family w:val="auto"/>
    <w:pitch w:val="default"/>
  </w:font>
  <w:font w:name="Times New Roman">
    <w:charset w:val="00" w:characterSet="windows-1252"/>
    <w:family w:val="roman"/>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12</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rPr>
  </w:style>
  <w:style w:type="paragraph" w:styleId="BodyText">
    <w:name w:val="Body Text"/>
    <w:basedOn w:val="Normal"/>
    <w:next w:val="Heading"/>
    <w:pPr>
      <w:spacing w:before="36" w:after="0"/>
    </w:pPr>
    <w:rPr>
      <w:rFonts w:ascii="宋体" w:hAnsi="宋体" w:cs="宋体"/>
      <w:kern w:val="0"/>
      <w:sz w:val="33"/>
      <w:szCs w:val="33"/>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00">
    <w:name w:val="正文_0_0"/>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8">
    <w:name w:val="索引 8"/>
    <w:basedOn w:val="00"/>
    <w:next w:val="Normal"/>
    <w:qFormat/>
    <w:pPr>
      <w:ind w:firstLineChars="0" w:firstLine="0" w:startChars="666" w:endChars="0" w:end="0"/>
      <w:jc w:val="start"/>
    </w:pPr>
    <w:rPr>
      <w:rFonts w:ascii="Calibri" w:hAnsi="Calibri" w:cs="Calibri"/>
      <w:szCs w:val="22"/>
    </w:rPr>
  </w:style>
  <w:style w:type="paragraph" w:styleId="Style15">
    <w:name w:val="正文缩进"/>
    <w:basedOn w:val="Normal"/>
    <w:next w:val="Normal"/>
    <w:qFormat/>
    <w:pPr>
      <w:ind w:firstLineChars="200" w:startChars="0" w:start="0" w:endChars="0" w:end="0"/>
    </w:pPr>
    <w:rPr>
      <w:rFonts w:ascii="Calibri" w:hAnsi="Calibri" w:eastAsia="宋体" w:cs="Calibri"/>
    </w:rPr>
  </w:style>
  <w:style w:type="paragraph" w:styleId="Style16">
    <w:name w:val="纯文本"/>
    <w:basedOn w:val="00"/>
    <w:next w:val="8"/>
    <w:qFormat/>
    <w:pPr/>
    <w:rPr>
      <w:rFonts w:ascii="宋体" w:hAnsi="宋体" w:cs="Courier New"/>
      <w:kern w:val="0"/>
      <w:sz w:val="2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before="100" w:after="100"/>
      <w:ind w:hanging="0" w:start="0" w:end="0"/>
      <w:jc w:val="start"/>
    </w:pPr>
    <w:rPr>
      <w:kern w:val="0"/>
      <w:sz w:val="24"/>
      <w:lang w:bidi="ar"/>
    </w:rPr>
  </w:style>
  <w:style w:type="paragraph" w:styleId="0">
    <w:name w:val="正文_0"/>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msonormalcxspmiddle">
    <w:name w:val="msonormalcxspmiddle"/>
    <w:basedOn w:val="0"/>
    <w:qFormat/>
    <w:pPr>
      <w:widowControl/>
      <w:spacing w:before="100" w:after="100"/>
      <w:jc w:val="start"/>
    </w:pPr>
    <w:rPr>
      <w:rFonts w:ascii="宋体" w:hAnsi="宋体" w:cs="宋体"/>
      <w:kern w:val="0"/>
      <w:sz w:val="24"/>
    </w:rPr>
  </w:style>
  <w:style w:type="paragraph" w:styleId="msonormalcxsplast">
    <w:name w:val="msonormalcxsplast"/>
    <w:basedOn w:val="0"/>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2023-04-28T01:40:00Z</dcterms:created>
  <dc:creator>luyiling</dc:creator>
  <dc:description/>
  <dc:language>en-US</dc:language>
  <cp:lastModifiedBy>an。</cp:lastModifiedBy>
  <dcterms:modified xsi:type="dcterms:W3CDTF">2023-06-12T17:08:31Z</dcterms:modified>
  <cp:revision>1</cp:revision>
  <dc:subject/>
  <dc:title>深圳市第七届人民代表大会常务委员会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0E6CDBBCC95D4206B4146DB2FB3E58DB_12</vt:lpwstr>
  </property>
  <property fmtid="{D5CDD505-2E9C-101B-9397-08002B2CF9AE}" pid="3" name="KSOProductBuildVer">
    <vt:lpwstr>2052-11.1.0.14309</vt:lpwstr>
  </property>
</Properties>
</file>