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keepNext w:val="false"/>
        <w:keepLines w:val="false"/>
        <w:pageBreakBefore w:val="false"/>
        <w:kinsoku w:val="true"/>
        <w:overflowPunct w:val="false"/>
        <w:autoSpaceDE w:val="true"/>
        <w:bidi w:val="0"/>
        <w:snapToGrid w:val="true"/>
        <w:spacing w:lineRule="exact" w:line="590"/>
        <w:jc w:val="center"/>
        <w:textAlignment w:val="auto"/>
        <w:rPr>
          <w:rFonts w:ascii="宋体" w:hAnsi="宋体" w:eastAsia="宋体" w:cs="宋体" w:hint="eastAsia"/>
          <w:b w:val="false"/>
          <w:bCs w:val="false"/>
          <w:color w:val="000000"/>
          <w:spacing w:val="0"/>
          <w:sz w:val="44"/>
          <w:szCs w:val="44"/>
        </w:rPr>
      </w:pPr>
      <w:r>
        <w:rPr>
          <w:rFonts w:eastAsia="宋体" w:cs="宋体" w:hint="eastAsia" w:ascii="宋体" w:hAnsi="宋体"/>
          <w:b w:val="false"/>
          <w:bCs w:val="false"/>
          <w:color w:val="000000"/>
          <w:spacing w:val="0"/>
          <w:sz w:val="44"/>
          <w:szCs w:val="44"/>
        </w:rPr>
      </w:r>
    </w:p>
    <w:p>
      <w:pPr>
        <w:pStyle w:val="Style15"/>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 xml:space="preserve">云浮市石材生产加工污染防治条例 </w:t>
      </w:r>
    </w:p>
    <w:p>
      <w:pPr>
        <w:pStyle w:val="Normal"/>
        <w:spacing w:lineRule="exact" w:line="590"/>
        <w:ind w:firstLineChars="0" w:firstLine="0" w:startChars="0" w:start="0" w:endChars="0" w:end="0"/>
        <w:jc w:val="start"/>
        <w:rPr>
          <w:rFonts w:ascii="宋体" w:hAnsi="宋体" w:eastAsia="楷体_GB2312" w:cs="宋体" w:hint="eastAsia"/>
          <w:color w:val="000000"/>
        </w:rPr>
      </w:pPr>
      <w:r>
        <w:rPr>
          <w:rFonts w:eastAsia="楷体_GB2312" w:cs="宋体" w:hint="eastAsia" w:ascii="宋体" w:hAnsi="宋体"/>
          <w:color w:val="000000"/>
        </w:rPr>
      </w:r>
    </w:p>
    <w:p>
      <w:pPr>
        <w:pStyle w:val="p17"/>
        <w:spacing w:lineRule="atLeast" w:line="580"/>
        <w:ind w:firstLine="420" w:end="0"/>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21</w:t>
      </w:r>
      <w:r>
        <w:rPr>
          <w:rFonts w:ascii="楷体_GB2312" w:hAnsi="楷体_GB2312" w:hint="eastAsia" w:eastAsia="楷体_GB2312"/>
        </w:rPr>
        <w:t xml:space="preserve">日云浮市第六届人民代表大会常务委员会第二十六次会议通过   </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日广东省第十三届人民代表大会常务委员会第二十六次会议批准）</w:t>
      </w:r>
    </w:p>
    <w:p>
      <w:pPr>
        <w:pStyle w:val="p17"/>
        <w:spacing w:lineRule="atLeast" w:line="580"/>
        <w:ind w:firstLine="420" w:end="0"/>
        <w:rPr>
          <w:rFonts w:ascii="楷体_GB2312" w:hAnsi="楷体_GB2312" w:eastAsia="楷体_GB2312" w:hint="eastAsia"/>
        </w:rPr>
      </w:pPr>
      <w:r>
        <w:rPr>
          <w:rFonts w:eastAsia="楷体_GB2312" w:hint="eastAsia" w:ascii="楷体_GB2312" w:hAnsi="楷体_GB2312"/>
        </w:rPr>
      </w:r>
    </w:p>
    <w:p>
      <w:pPr>
        <w:pStyle w:val="p15"/>
        <w:spacing w:lineRule="atLeast" w:line="600" w:before="0" w:after="0"/>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第一章  总  则</w:t>
      </w:r>
    </w:p>
    <w:p>
      <w:pPr>
        <w:pStyle w:val="p16"/>
        <w:spacing w:lineRule="atLeast" w:line="600"/>
        <w:rPr>
          <w:rFonts w:ascii="Times New Roman" w:hAnsi="Times New Roman" w:eastAsia="黑体" w:cs="Times New Roman" w:hint="eastAsia"/>
          <w:b w:val="false"/>
          <w:bCs w:val="false"/>
          <w:sz w:val="32"/>
          <w:szCs w:val="32"/>
        </w:rPr>
      </w:pPr>
      <w:r>
        <w:rPr>
          <w:rFonts w:eastAsia="黑体" w:cs="Times New Roman" w:hint="eastAsia" w:ascii="Times New Roman" w:hAnsi="Times New Roman"/>
          <w:b w:val="false"/>
          <w:bCs w:val="false"/>
          <w:sz w:val="32"/>
          <w:szCs w:val="32"/>
        </w:rPr>
      </w:r>
    </w:p>
    <w:p>
      <w:pPr>
        <w:pStyle w:val="p16"/>
        <w:spacing w:lineRule="atLeast" w:line="600"/>
        <w:ind w:firstLineChars="200" w:startChars="0" w:start="0" w:endChars="0" w:end="0"/>
        <w:rPr/>
      </w:pPr>
      <w:r>
        <w:rPr>
          <w:rFonts w:ascii="黑体" w:hAnsi="黑体" w:cs="黑体" w:hint="eastAsia" w:eastAsia="黑体"/>
        </w:rPr>
        <w:t>第一条</w:t>
      </w:r>
      <w:r>
        <w:rPr>
          <w:rFonts w:hint="eastAsia"/>
        </w:rPr>
        <w:t xml:space="preserve"> 为了防治石材生产加工污染，保护和改善生态环境，促进本市石材产业持续健康发展，根据《中华人民共和国环境保护法》《中华人民共和国大气污染防治法》《中华人民共和国水污染防治法》《中华人民共和国固体废物污染环境防治法》等法律法规，结合本市实际，制定本条例。</w:t>
      </w:r>
    </w:p>
    <w:p>
      <w:pPr>
        <w:pStyle w:val="p16"/>
        <w:spacing w:lineRule="atLeast" w:line="600"/>
        <w:ind w:firstLineChars="200" w:startChars="0" w:start="0" w:endChars="0" w:end="0"/>
        <w:rPr>
          <w:rFonts w:hint="eastAsia"/>
        </w:rPr>
      </w:pPr>
      <w:r>
        <w:rPr>
          <w:rFonts w:ascii="黑体" w:hAnsi="黑体" w:cs="黑体" w:hint="eastAsia" w:eastAsia="黑体"/>
        </w:rPr>
        <w:t xml:space="preserve">第二条 </w:t>
      </w:r>
      <w:r>
        <w:rPr>
          <w:rFonts w:hint="eastAsia"/>
        </w:rPr>
        <w:t>本条例适用于本市行政区域内石材生产加工活动产生的粉尘、含挥发性有机物废气、工业固体废物、废水等的污染防治。</w:t>
      </w:r>
    </w:p>
    <w:p>
      <w:pPr>
        <w:pStyle w:val="p16"/>
        <w:spacing w:lineRule="atLeast" w:line="600"/>
        <w:ind w:firstLineChars="200" w:startChars="0" w:start="0" w:endChars="0" w:end="0"/>
        <w:rPr>
          <w:rFonts w:hint="eastAsia"/>
        </w:rPr>
      </w:pPr>
      <w:r>
        <w:rPr>
          <w:rFonts w:hint="eastAsia"/>
        </w:rPr>
        <w:t>石材采掘的污染防治，不适用本条例。</w:t>
      </w:r>
    </w:p>
    <w:p>
      <w:pPr>
        <w:pStyle w:val="p16"/>
        <w:spacing w:lineRule="atLeast" w:line="600"/>
        <w:ind w:firstLineChars="200" w:startChars="0" w:start="0" w:endChars="0" w:end="0"/>
        <w:rPr>
          <w:rFonts w:hint="eastAsia"/>
        </w:rPr>
      </w:pPr>
      <w:r>
        <w:rPr>
          <w:rFonts w:ascii="黑体" w:hAnsi="黑体" w:cs="黑体" w:hint="eastAsia" w:eastAsia="黑体"/>
        </w:rPr>
        <w:t>第三条</w:t>
      </w:r>
      <w:r>
        <w:rPr>
          <w:rFonts w:hint="eastAsia"/>
        </w:rPr>
        <w:t xml:space="preserve"> 石材生产加工污染防治，坚持预防为主、防治结合、综合治理、污染担责、公众参与的原则，促进生产清洁化、污染减量化、废物资源化。</w:t>
      </w:r>
    </w:p>
    <w:p>
      <w:pPr>
        <w:pStyle w:val="p16"/>
        <w:spacing w:lineRule="atLeast" w:line="600"/>
        <w:ind w:firstLineChars="200" w:startChars="0" w:start="0" w:endChars="0" w:end="0"/>
        <w:rPr>
          <w:rFonts w:hint="eastAsia"/>
        </w:rPr>
      </w:pPr>
      <w:r>
        <w:rPr>
          <w:rFonts w:ascii="黑体" w:hAnsi="黑体" w:cs="黑体" w:hint="eastAsia" w:eastAsia="黑体"/>
        </w:rPr>
        <w:t>第四条</w:t>
      </w:r>
      <w:r>
        <w:rPr>
          <w:rFonts w:hint="eastAsia"/>
        </w:rPr>
        <w:t xml:space="preserve"> 市人民政府应当将石材生产加工污染防治工作纳入国民经济和社会发展规划，加强对石材生产加工污染防治工作的领导，组织、协调、督促有关部门依法履行污染防治监督管理职责。</w:t>
      </w:r>
    </w:p>
    <w:p>
      <w:pPr>
        <w:pStyle w:val="p16"/>
        <w:spacing w:lineRule="atLeast" w:line="600"/>
        <w:ind w:firstLineChars="200" w:startChars="0" w:start="0" w:endChars="0" w:end="0"/>
        <w:rPr>
          <w:rFonts w:hint="eastAsia"/>
        </w:rPr>
      </w:pPr>
      <w:r>
        <w:rPr>
          <w:rFonts w:hint="eastAsia"/>
        </w:rPr>
        <w:t>县（市、区）、镇人民政府应当落实市石材产业发展规划，采取有效措施防治石材生产加工污染。</w:t>
      </w:r>
    </w:p>
    <w:p>
      <w:pPr>
        <w:pStyle w:val="p16"/>
        <w:spacing w:lineRule="atLeast" w:line="600"/>
        <w:ind w:firstLineChars="200" w:startChars="0" w:start="0" w:endChars="0" w:end="0"/>
        <w:rPr>
          <w:rFonts w:hint="eastAsia"/>
        </w:rPr>
      </w:pPr>
      <w:r>
        <w:rPr>
          <w:rFonts w:hint="eastAsia"/>
        </w:rPr>
        <w:t>街道办事处应当配合有关部门做好本区域的石材生产加工污染防治工作。</w:t>
      </w:r>
    </w:p>
    <w:p>
      <w:pPr>
        <w:pStyle w:val="p16"/>
        <w:spacing w:lineRule="atLeast" w:line="600"/>
        <w:ind w:firstLineChars="200" w:startChars="0" w:start="0" w:endChars="0" w:end="0"/>
        <w:rPr>
          <w:rFonts w:hint="eastAsia"/>
        </w:rPr>
      </w:pPr>
      <w:r>
        <w:rPr>
          <w:rFonts w:ascii="黑体" w:hAnsi="黑体" w:cs="黑体" w:hint="eastAsia" w:eastAsia="黑体"/>
        </w:rPr>
        <w:t>第五条</w:t>
      </w:r>
      <w:r>
        <w:rPr>
          <w:rFonts w:hint="eastAsia"/>
        </w:rPr>
        <w:t xml:space="preserve"> 生态环境主管部门对本行政区域内石材生产加工污染防治实施统一监督管理。</w:t>
      </w:r>
    </w:p>
    <w:p>
      <w:pPr>
        <w:pStyle w:val="p16"/>
        <w:spacing w:lineRule="atLeast" w:line="600"/>
        <w:ind w:firstLineChars="200" w:startChars="0" w:start="0" w:endChars="0" w:end="0"/>
        <w:rPr>
          <w:rFonts w:hint="eastAsia"/>
        </w:rPr>
      </w:pPr>
      <w:r>
        <w:rPr>
          <w:rFonts w:hint="eastAsia"/>
        </w:rPr>
        <w:t>发展改革、工业和信息化、自然资源、住房和城乡建设、市场监督管理、交通运输等主管部门，在各自职责范围内负责石材生产加工污染防治的监督管理工作。</w:t>
      </w:r>
    </w:p>
    <w:p>
      <w:pPr>
        <w:pStyle w:val="p16"/>
        <w:spacing w:lineRule="atLeast" w:line="600"/>
        <w:ind w:firstLineChars="200" w:startChars="0" w:start="0" w:endChars="0" w:end="0"/>
        <w:rPr>
          <w:rFonts w:hint="eastAsia"/>
        </w:rPr>
      </w:pPr>
      <w:r>
        <w:rPr>
          <w:rFonts w:hint="eastAsia"/>
        </w:rPr>
        <w:t>工业和信息化主管部门应当会同发展改革、生态环境等主管部门，通过加强对石材废物综合利用工艺和技术推广应用的指导、组织开展石材废物资源化综合利用评价等途径，促进石材废物的综合利用。</w:t>
      </w:r>
    </w:p>
    <w:p>
      <w:pPr>
        <w:pStyle w:val="p16"/>
        <w:spacing w:lineRule="atLeast" w:line="600"/>
        <w:ind w:firstLineChars="200" w:startChars="0" w:start="0" w:endChars="0" w:end="0"/>
        <w:rPr>
          <w:rFonts w:hint="eastAsia"/>
        </w:rPr>
      </w:pPr>
      <w:r>
        <w:rPr>
          <w:rFonts w:ascii="黑体" w:hAnsi="黑体" w:cs="黑体" w:hint="eastAsia" w:eastAsia="黑体"/>
        </w:rPr>
        <w:t xml:space="preserve">第六条 </w:t>
      </w:r>
      <w:r>
        <w:rPr>
          <w:rFonts w:hint="eastAsia"/>
        </w:rPr>
        <w:t>村民委员会、居民委员会协助做好石材生产加工污染防治的相关工作，发现本区域内存在石材生产加工污染行为的，应当予以劝阻并向生态环境等主管部门或者镇人民政府、街道办事处报告。</w:t>
      </w:r>
    </w:p>
    <w:p>
      <w:pPr>
        <w:pStyle w:val="p16"/>
        <w:spacing w:lineRule="atLeast" w:line="600"/>
        <w:rPr>
          <w:rFonts w:hint="eastAsia"/>
        </w:rPr>
      </w:pPr>
      <w:r>
        <w:rPr>
          <w:rFonts w:hint="eastAsia"/>
        </w:rPr>
        <w:t xml:space="preserve">    </w:t>
      </w:r>
      <w:r>
        <w:rPr>
          <w:rFonts w:ascii="黑体" w:hAnsi="黑体" w:cs="黑体" w:hint="eastAsia" w:eastAsia="黑体"/>
        </w:rPr>
        <w:t>第七条</w:t>
      </w:r>
      <w:r>
        <w:rPr>
          <w:rFonts w:hint="eastAsia"/>
        </w:rPr>
        <w:t xml:space="preserve"> 石材商会等社会组织应当加强行业自律和诚信建设，发挥在石材生产加工污染防治方面的宣传、教育、引导、规范作用，可以依法组织制定并且倡导遵守严于强制性标准的污染防治团体标准。</w:t>
      </w:r>
    </w:p>
    <w:p>
      <w:pPr>
        <w:pStyle w:val="p16"/>
        <w:spacing w:lineRule="atLeast" w:line="600"/>
        <w:rPr>
          <w:rFonts w:hint="eastAsia"/>
        </w:rPr>
      </w:pPr>
      <w:r>
        <w:rPr>
          <w:rFonts w:hint="eastAsia"/>
        </w:rPr>
        <w:t xml:space="preserve">    </w:t>
      </w:r>
      <w:r>
        <w:rPr>
          <w:rFonts w:hint="eastAsia"/>
        </w:rPr>
        <w:t>鼓励、支持石材商会等社会组织在石材废物综合利用领域积极发挥组织协调、技术指导、技术培训、市场推广和信息咨询服务等方面的作用。</w:t>
      </w:r>
    </w:p>
    <w:p>
      <w:pPr>
        <w:pStyle w:val="p16"/>
        <w:spacing w:lineRule="atLeast" w:line="600"/>
        <w:ind w:firstLineChars="200" w:startChars="0" w:start="0" w:endChars="0" w:end="0"/>
        <w:rPr>
          <w:rFonts w:hint="eastAsia"/>
        </w:rPr>
      </w:pPr>
      <w:r>
        <w:rPr>
          <w:rFonts w:ascii="黑体" w:hAnsi="黑体" w:cs="黑体" w:hint="eastAsia" w:eastAsia="黑体"/>
        </w:rPr>
        <w:t>第八条</w:t>
      </w:r>
      <w:r>
        <w:rPr>
          <w:rFonts w:hint="eastAsia"/>
        </w:rPr>
        <w:t xml:space="preserve"> 石材生产加工经营者应当履行污染防治义务，接受监督检查，采取有效措施防止、减少石材生产加工的环境污染，并对所造成的环境污染依法承担责任。</w:t>
      </w:r>
    </w:p>
    <w:p>
      <w:pPr>
        <w:pStyle w:val="p16"/>
        <w:spacing w:lineRule="atLeast" w:line="600"/>
        <w:ind w:firstLineChars="200" w:startChars="0" w:start="0" w:endChars="0" w:end="0"/>
        <w:rPr>
          <w:rFonts w:hint="eastAsia"/>
        </w:rPr>
      </w:pPr>
      <w:r>
        <w:rPr>
          <w:rFonts w:hint="eastAsia"/>
        </w:rPr>
      </w:r>
    </w:p>
    <w:p>
      <w:pPr>
        <w:pStyle w:val="p16"/>
        <w:spacing w:lineRule="atLeast" w:line="600"/>
        <w:rPr>
          <w:rFonts w:ascii="楷体_GB2312" w:hAnsi="楷体_GB2312" w:eastAsia="楷体_GB2312" w:hint="eastAsia"/>
          <w:sz w:val="28"/>
          <w:szCs w:val="28"/>
        </w:rPr>
      </w:pPr>
      <w:r>
        <w:rPr>
          <w:rFonts w:eastAsia="楷体_GB2312" w:hint="eastAsia" w:ascii="楷体_GB2312" w:hAnsi="楷体_GB2312"/>
          <w:sz w:val="28"/>
          <w:szCs w:val="28"/>
        </w:rPr>
      </w:r>
    </w:p>
    <w:p>
      <w:pPr>
        <w:pStyle w:val="p15"/>
        <w:spacing w:lineRule="atLeast" w:line="600" w:before="0" w:after="0"/>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第二章  保障和监督</w:t>
      </w:r>
    </w:p>
    <w:p>
      <w:pPr>
        <w:pStyle w:val="p16"/>
        <w:spacing w:lineRule="atLeast" w:line="600"/>
        <w:rPr>
          <w:rFonts w:ascii="黑体" w:hAnsi="黑体" w:eastAsia="黑体" w:cs="黑体" w:hint="eastAsia"/>
          <w:b w:val="false"/>
          <w:bCs w:val="false"/>
          <w:color w:val="FF0000"/>
          <w:sz w:val="32"/>
          <w:szCs w:val="32"/>
        </w:rPr>
      </w:pPr>
      <w:r>
        <w:rPr>
          <w:rFonts w:eastAsia="黑体" w:cs="黑体" w:hint="eastAsia" w:ascii="黑体" w:hAnsi="黑体"/>
          <w:b w:val="false"/>
          <w:bCs w:val="false"/>
          <w:color w:val="FF0000"/>
          <w:sz w:val="32"/>
          <w:szCs w:val="32"/>
        </w:rPr>
      </w:r>
    </w:p>
    <w:p>
      <w:pPr>
        <w:pStyle w:val="p16"/>
        <w:spacing w:lineRule="atLeast" w:line="600"/>
        <w:ind w:firstLineChars="200" w:startChars="0" w:start="0" w:endChars="0" w:end="0"/>
        <w:rPr>
          <w:rFonts w:hint="eastAsia"/>
        </w:rPr>
      </w:pPr>
      <w:r>
        <w:rPr>
          <w:rFonts w:ascii="黑体" w:hAnsi="黑体" w:cs="黑体" w:hint="eastAsia" w:eastAsia="黑体"/>
        </w:rPr>
        <w:t>第</w:t>
      </w:r>
      <w:r>
        <w:rPr>
          <w:rFonts w:ascii="黑体" w:hAnsi="黑体" w:cs="黑体" w:hint="eastAsia" w:eastAsia="黑体"/>
          <w:color w:val="000000"/>
        </w:rPr>
        <w:t>九</w:t>
      </w:r>
      <w:r>
        <w:rPr>
          <w:rFonts w:ascii="黑体" w:hAnsi="黑体" w:cs="黑体" w:hint="eastAsia" w:eastAsia="黑体"/>
        </w:rPr>
        <w:t>条</w:t>
      </w:r>
      <w:r>
        <w:rPr>
          <w:rFonts w:hint="eastAsia"/>
        </w:rPr>
        <w:t xml:space="preserve"> 市工业和信息化主管部门会同发展改革、自然资源、生态环境主管部门编制石材产业发展规划，征求公众意见后，报市人民政府批准，并向社会公布。</w:t>
      </w:r>
    </w:p>
    <w:p>
      <w:pPr>
        <w:pStyle w:val="p16"/>
        <w:spacing w:lineRule="atLeast" w:line="600"/>
        <w:ind w:firstLineChars="200" w:startChars="0" w:start="0" w:endChars="0" w:end="0"/>
        <w:rPr>
          <w:rFonts w:hint="eastAsia"/>
        </w:rPr>
      </w:pPr>
      <w:r>
        <w:rPr>
          <w:rFonts w:hint="eastAsia"/>
        </w:rPr>
        <w:t>石材产业发展规划应当与国土空间规划、生态环境保护规划等相衔接，统筹考虑产业健康发展、环境承载能力以及石材生产加工污染防治要求。</w:t>
      </w:r>
    </w:p>
    <w:p>
      <w:pPr>
        <w:pStyle w:val="p16"/>
        <w:spacing w:lineRule="atLeast" w:line="600"/>
        <w:ind w:firstLineChars="200" w:startChars="0" w:start="0" w:endChars="0" w:end="0"/>
        <w:rPr>
          <w:rFonts w:hint="eastAsia"/>
        </w:rPr>
      </w:pPr>
      <w:r>
        <w:rPr>
          <w:rFonts w:hint="eastAsia"/>
        </w:rPr>
        <w:t>石材产业发展规划应当明确石材生产加工项目的选址、污染防治配套设施建设等要求，保障石材废物综合利用项目和贮存、处置等设施、场所的用地。</w:t>
      </w:r>
    </w:p>
    <w:p>
      <w:pPr>
        <w:pStyle w:val="p16"/>
        <w:spacing w:lineRule="atLeast" w:line="600"/>
        <w:ind w:firstLineChars="200" w:startChars="0" w:start="0" w:endChars="0" w:end="0"/>
        <w:rPr>
          <w:rFonts w:hint="eastAsia"/>
        </w:rPr>
      </w:pPr>
      <w:r>
        <w:rPr>
          <w:rFonts w:ascii="黑体" w:hAnsi="黑体" w:cs="黑体" w:hint="eastAsia" w:eastAsia="黑体"/>
        </w:rPr>
        <w:t>第</w:t>
      </w:r>
      <w:r>
        <w:rPr>
          <w:rFonts w:ascii="黑体" w:hAnsi="黑体" w:cs="黑体" w:hint="eastAsia" w:eastAsia="黑体"/>
          <w:color w:val="000000"/>
        </w:rPr>
        <w:t>十</w:t>
      </w:r>
      <w:r>
        <w:rPr>
          <w:rFonts w:ascii="黑体" w:hAnsi="黑体" w:cs="黑体" w:hint="eastAsia" w:eastAsia="黑体"/>
        </w:rPr>
        <w:t>条</w:t>
      </w:r>
      <w:r>
        <w:rPr>
          <w:rFonts w:hint="eastAsia"/>
        </w:rPr>
        <w:t xml:space="preserve"> 市生态环境主管部门依据法律法规的规定和有关技术规范，编制、修订石材生产加工产业污染防治技术指引，并向社会公布。</w:t>
      </w:r>
    </w:p>
    <w:p>
      <w:pPr>
        <w:pStyle w:val="p16"/>
        <w:spacing w:lineRule="atLeast" w:line="600"/>
        <w:ind w:firstLineChars="200" w:startChars="0" w:start="0" w:endChars="0" w:end="0"/>
        <w:rPr>
          <w:rFonts w:hint="eastAsia"/>
        </w:rPr>
      </w:pPr>
      <w:r>
        <w:rPr>
          <w:rFonts w:ascii="黑体" w:hAnsi="黑体" w:cs="黑体" w:hint="eastAsia" w:eastAsia="黑体"/>
        </w:rPr>
        <w:t>第</w:t>
      </w:r>
      <w:r>
        <w:rPr>
          <w:rFonts w:ascii="黑体" w:hAnsi="黑体" w:cs="黑体" w:hint="eastAsia" w:eastAsia="黑体"/>
          <w:color w:val="000000"/>
        </w:rPr>
        <w:t>十一</w:t>
      </w:r>
      <w:r>
        <w:rPr>
          <w:rFonts w:ascii="黑体" w:hAnsi="黑体" w:cs="黑体" w:hint="eastAsia" w:eastAsia="黑体"/>
        </w:rPr>
        <w:t xml:space="preserve">条 </w:t>
      </w:r>
      <w:r>
        <w:rPr>
          <w:rFonts w:hint="eastAsia"/>
        </w:rPr>
        <w:t>市、县（市、区）人民政府应当</w:t>
      </w:r>
      <w:r>
        <w:rPr>
          <w:rFonts w:hint="eastAsia"/>
          <w:color w:val="000000"/>
        </w:rPr>
        <w:t>组织</w:t>
      </w:r>
      <w:r>
        <w:rPr>
          <w:rFonts w:hint="eastAsia"/>
        </w:rPr>
        <w:t>建设石材废物的贮存、集中处置等设施、场所。</w:t>
      </w:r>
    </w:p>
    <w:p>
      <w:pPr>
        <w:pStyle w:val="p16"/>
        <w:spacing w:lineRule="atLeast" w:line="600"/>
        <w:ind w:firstLineChars="200" w:startChars="0" w:start="0" w:endChars="0" w:end="0"/>
        <w:rPr>
          <w:rFonts w:hint="eastAsia"/>
        </w:rPr>
      </w:pPr>
      <w:r>
        <w:rPr>
          <w:rFonts w:hint="eastAsia"/>
        </w:rPr>
        <w:t>建设石材废物贮存、处置的设施、场所，应当符合国家和地方的环境保护标准、规范。</w:t>
      </w:r>
    </w:p>
    <w:p>
      <w:pPr>
        <w:pStyle w:val="p16"/>
        <w:spacing w:lineRule="atLeast" w:line="600"/>
        <w:ind w:firstLineChars="200" w:startChars="0" w:start="0" w:endChars="0" w:end="0"/>
        <w:rPr>
          <w:rFonts w:hint="eastAsia"/>
        </w:rPr>
      </w:pPr>
      <w:r>
        <w:rPr>
          <w:rFonts w:ascii="黑体" w:hAnsi="黑体" w:cs="黑体" w:hint="eastAsia" w:eastAsia="黑体"/>
        </w:rPr>
        <w:t>第</w:t>
      </w:r>
      <w:r>
        <w:rPr>
          <w:rFonts w:ascii="黑体" w:hAnsi="黑体" w:cs="黑体" w:hint="eastAsia" w:eastAsia="黑体"/>
          <w:color w:val="000000"/>
        </w:rPr>
        <w:t>十二</w:t>
      </w:r>
      <w:r>
        <w:rPr>
          <w:rFonts w:ascii="黑体" w:hAnsi="黑体" w:cs="黑体" w:hint="eastAsia" w:eastAsia="黑体"/>
        </w:rPr>
        <w:t>条</w:t>
      </w:r>
      <w:r>
        <w:rPr>
          <w:rFonts w:hint="eastAsia"/>
        </w:rPr>
        <w:t xml:space="preserve"> 石材生产加工建设项目应当依法进行环境影响评价，配套建设污染防治设施，并取得排污许可。</w:t>
      </w:r>
    </w:p>
    <w:p>
      <w:pPr>
        <w:pStyle w:val="p16"/>
        <w:spacing w:lineRule="atLeast" w:line="600"/>
        <w:ind w:firstLineChars="200" w:startChars="0" w:start="0" w:endChars="0" w:end="0"/>
        <w:rPr>
          <w:rFonts w:hint="eastAsia"/>
        </w:rPr>
      </w:pPr>
      <w:r>
        <w:rPr>
          <w:rFonts w:ascii="黑体" w:hAnsi="黑体" w:cs="黑体" w:hint="eastAsia" w:eastAsia="黑体"/>
        </w:rPr>
        <w:t>第</w:t>
      </w:r>
      <w:r>
        <w:rPr>
          <w:rFonts w:ascii="黑体" w:hAnsi="黑体" w:cs="黑体" w:hint="eastAsia" w:eastAsia="黑体"/>
          <w:color w:val="000000"/>
        </w:rPr>
        <w:t>十三</w:t>
      </w:r>
      <w:r>
        <w:rPr>
          <w:rFonts w:ascii="黑体" w:hAnsi="黑体" w:cs="黑体" w:hint="eastAsia" w:eastAsia="黑体"/>
        </w:rPr>
        <w:t>条</w:t>
      </w:r>
      <w:r>
        <w:rPr>
          <w:rFonts w:hint="eastAsia"/>
        </w:rPr>
        <w:t xml:space="preserve"> 市、县（市、区）人民政府应当采取措施，依法制止石材废物清理、运输、综合利用活动中的垄断行为、不正当竞争行为，积极营造公平的市场竞争环境。</w:t>
      </w:r>
    </w:p>
    <w:p>
      <w:pPr>
        <w:pStyle w:val="p16"/>
        <w:spacing w:lineRule="atLeast" w:line="600"/>
        <w:ind w:firstLineChars="200" w:startChars="0" w:start="0" w:endChars="0" w:end="0"/>
        <w:rPr>
          <w:rFonts w:hint="eastAsia"/>
        </w:rPr>
      </w:pPr>
      <w:r>
        <w:rPr>
          <w:rFonts w:ascii="黑体" w:hAnsi="黑体" w:cs="黑体" w:hint="eastAsia" w:eastAsia="黑体"/>
        </w:rPr>
        <w:t>第</w:t>
      </w:r>
      <w:r>
        <w:rPr>
          <w:rFonts w:ascii="黑体" w:hAnsi="黑体" w:cs="黑体" w:hint="eastAsia" w:eastAsia="黑体"/>
          <w:color w:val="000000"/>
        </w:rPr>
        <w:t>十四</w:t>
      </w:r>
      <w:r>
        <w:rPr>
          <w:rFonts w:ascii="黑体" w:hAnsi="黑体" w:cs="黑体" w:hint="eastAsia" w:eastAsia="黑体"/>
        </w:rPr>
        <w:t>条</w:t>
      </w:r>
      <w:r>
        <w:rPr>
          <w:rFonts w:hint="eastAsia"/>
        </w:rPr>
        <w:t xml:space="preserve"> 市、县（市、区）人民政府应当鼓励、支持石材生产加工污染防治和废物综合利用的技术创新，推广先进、适用的污染防治技术和装备，促进科技成果转化，发挥科学技术的支撑作用。</w:t>
      </w:r>
    </w:p>
    <w:p>
      <w:pPr>
        <w:pStyle w:val="p16"/>
        <w:spacing w:lineRule="atLeast" w:line="600"/>
        <w:rPr>
          <w:rFonts w:hint="eastAsia"/>
        </w:rPr>
      </w:pPr>
      <w:r>
        <w:rPr>
          <w:rFonts w:hint="eastAsia"/>
        </w:rPr>
        <w:t xml:space="preserve">    </w:t>
      </w:r>
      <w:r>
        <w:rPr>
          <w:rFonts w:ascii="黑体" w:hAnsi="黑体" w:cs="黑体" w:hint="eastAsia" w:eastAsia="黑体"/>
        </w:rPr>
        <w:t>第</w:t>
      </w:r>
      <w:r>
        <w:rPr>
          <w:rFonts w:ascii="黑体" w:hAnsi="黑体" w:cs="黑体" w:hint="eastAsia" w:eastAsia="黑体"/>
          <w:color w:val="000000"/>
        </w:rPr>
        <w:t>十五</w:t>
      </w:r>
      <w:r>
        <w:rPr>
          <w:rFonts w:ascii="黑体" w:hAnsi="黑体" w:cs="黑体" w:hint="eastAsia" w:eastAsia="黑体"/>
        </w:rPr>
        <w:t>条</w:t>
      </w:r>
      <w:r>
        <w:rPr>
          <w:rFonts w:hint="eastAsia"/>
        </w:rPr>
        <w:t xml:space="preserve"> 市、县（市、区）人民政府应当制定措施鼓励建材、电力等行业企业大宗利用和高附加值利用石材废物。</w:t>
      </w:r>
    </w:p>
    <w:p>
      <w:pPr>
        <w:pStyle w:val="p16"/>
        <w:spacing w:lineRule="atLeast" w:line="600"/>
        <w:ind w:firstLine="640" w:end="0"/>
        <w:rPr>
          <w:rFonts w:hint="eastAsia"/>
        </w:rPr>
      </w:pPr>
      <w:r>
        <w:rPr>
          <w:rFonts w:ascii="黑体" w:hAnsi="黑体" w:cs="黑体" w:hint="eastAsia" w:eastAsia="黑体"/>
        </w:rPr>
        <w:t>第</w:t>
      </w:r>
      <w:r>
        <w:rPr>
          <w:rFonts w:ascii="黑体" w:hAnsi="黑体" w:cs="黑体" w:hint="eastAsia" w:eastAsia="黑体"/>
          <w:color w:val="000000"/>
        </w:rPr>
        <w:t>十六</w:t>
      </w:r>
      <w:r>
        <w:rPr>
          <w:rFonts w:ascii="黑体" w:hAnsi="黑体" w:cs="黑体" w:hint="eastAsia" w:eastAsia="黑体"/>
        </w:rPr>
        <w:t>条</w:t>
      </w:r>
      <w:r>
        <w:rPr>
          <w:rFonts w:hint="eastAsia"/>
        </w:rPr>
        <w:t xml:space="preserve"> 使用公共财政资金的建设项目应当优先使用符合建设项目需要的石材废物综合利用产品。</w:t>
      </w:r>
    </w:p>
    <w:p>
      <w:pPr>
        <w:pStyle w:val="p16"/>
        <w:spacing w:lineRule="atLeast" w:line="600"/>
        <w:ind w:firstLine="640" w:end="0"/>
        <w:rPr>
          <w:rFonts w:hint="eastAsia"/>
        </w:rPr>
      </w:pPr>
      <w:r>
        <w:rPr>
          <w:rFonts w:hint="eastAsia"/>
        </w:rPr>
        <w:t>鼓励其他建设项目在同等条件下优先使用石材废物综合利用产品。</w:t>
      </w:r>
    </w:p>
    <w:p>
      <w:pPr>
        <w:pStyle w:val="p16"/>
        <w:spacing w:lineRule="atLeast" w:line="600"/>
        <w:ind w:firstLine="640" w:end="0"/>
        <w:rPr>
          <w:rFonts w:hint="eastAsia"/>
          <w:color w:val="000000"/>
        </w:rPr>
      </w:pPr>
      <w:r>
        <w:rPr>
          <w:rFonts w:hint="eastAsia"/>
          <w:b/>
          <w:bCs/>
          <w:color w:val="000000"/>
        </w:rPr>
        <w:t xml:space="preserve">第十七条 </w:t>
      </w:r>
      <w:r>
        <w:rPr>
          <w:rFonts w:hint="eastAsia"/>
          <w:color w:val="000000"/>
        </w:rPr>
        <w:t>生态环境主管部门及其环境执法机构和其他负有污染环境防治监督管理职责的部门，在各自职责范围内有权通过现场检查监测、自动监测等方式，对排放污染物的石材生产加工经营者进行监督检查。被检查者应当如实反映情况，提供必要的资料。</w:t>
      </w:r>
    </w:p>
    <w:p>
      <w:pPr>
        <w:pStyle w:val="p16"/>
        <w:spacing w:lineRule="atLeast" w:line="600"/>
        <w:ind w:firstLine="640" w:end="0"/>
        <w:rPr>
          <w:rFonts w:ascii="黑体" w:hAnsi="黑体" w:eastAsia="黑体" w:cs="黑体" w:hint="eastAsia"/>
          <w:color w:val="000000"/>
        </w:rPr>
      </w:pPr>
      <w:r>
        <w:rPr>
          <w:rFonts w:hint="eastAsia"/>
          <w:color w:val="000000"/>
        </w:rPr>
        <w:t>实施检查的部门、机构及其工作人员应当为被检查者保守商业秘密。</w:t>
      </w:r>
    </w:p>
    <w:p>
      <w:pPr>
        <w:pStyle w:val="p16"/>
        <w:spacing w:lineRule="atLeast" w:line="600"/>
        <w:ind w:firstLineChars="200" w:startChars="0" w:start="0" w:endChars="0" w:end="0"/>
        <w:rPr>
          <w:rFonts w:hint="eastAsia"/>
          <w:color w:val="000000"/>
        </w:rPr>
      </w:pPr>
      <w:r>
        <w:rPr>
          <w:rFonts w:ascii="黑体" w:hAnsi="黑体" w:cs="黑体" w:hint="eastAsia" w:eastAsia="黑体"/>
          <w:color w:val="000000"/>
        </w:rPr>
        <w:t>第十八条</w:t>
      </w:r>
      <w:r>
        <w:rPr>
          <w:rFonts w:hint="eastAsia"/>
          <w:color w:val="000000"/>
        </w:rPr>
        <w:t xml:space="preserve"> 任何单位和个人对违反本条例规定的行为有权进行举报。</w:t>
      </w:r>
    </w:p>
    <w:p>
      <w:pPr>
        <w:pStyle w:val="p16"/>
        <w:spacing w:lineRule="atLeast" w:line="600"/>
        <w:rPr>
          <w:rFonts w:hint="eastAsia"/>
          <w:color w:val="000000"/>
        </w:rPr>
      </w:pPr>
      <w:r>
        <w:rPr>
          <w:rFonts w:hint="eastAsia"/>
          <w:color w:val="000000"/>
        </w:rPr>
        <w:t xml:space="preserve">    </w:t>
      </w:r>
      <w:r>
        <w:rPr>
          <w:rFonts w:hint="eastAsia"/>
          <w:color w:val="000000"/>
        </w:rPr>
        <w:t>生态环境主管部门应当公布举报电话、电子邮箱等，方便公众举报。</w:t>
      </w:r>
    </w:p>
    <w:p>
      <w:pPr>
        <w:pStyle w:val="p16"/>
        <w:spacing w:lineRule="atLeast" w:line="600"/>
        <w:ind w:firstLine="640" w:end="0"/>
        <w:rPr>
          <w:rFonts w:hint="eastAsia"/>
          <w:color w:val="000000"/>
        </w:rPr>
      </w:pPr>
      <w:r>
        <w:rPr>
          <w:rFonts w:hint="eastAsia"/>
          <w:color w:val="000000"/>
        </w:rPr>
      </w:r>
    </w:p>
    <w:p>
      <w:pPr>
        <w:pStyle w:val="p16"/>
        <w:spacing w:lineRule="atLeast" w:line="600"/>
        <w:rPr>
          <w:rFonts w:hint="eastAsia"/>
        </w:rPr>
      </w:pPr>
      <w:r>
        <w:rPr>
          <w:rFonts w:hint="eastAsia"/>
        </w:rPr>
      </w:r>
    </w:p>
    <w:p>
      <w:pPr>
        <w:pStyle w:val="p15"/>
        <w:spacing w:lineRule="atLeast" w:line="600" w:before="0" w:after="0"/>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第三章  污染防治</w:t>
      </w:r>
    </w:p>
    <w:p>
      <w:pPr>
        <w:pStyle w:val="p16"/>
        <w:spacing w:lineRule="atLeast" w:line="600"/>
        <w:rPr>
          <w:rFonts w:ascii="Times New Roman" w:hAnsi="Times New Roman" w:eastAsia="黑体" w:cs="Times New Roman" w:hint="eastAsia"/>
          <w:b w:val="false"/>
          <w:bCs w:val="false"/>
          <w:sz w:val="32"/>
          <w:szCs w:val="32"/>
        </w:rPr>
      </w:pPr>
      <w:r>
        <w:rPr>
          <w:rFonts w:eastAsia="黑体" w:cs="Times New Roman" w:hint="eastAsia" w:ascii="Times New Roman" w:hAnsi="Times New Roman"/>
          <w:b w:val="false"/>
          <w:bCs w:val="false"/>
          <w:sz w:val="32"/>
          <w:szCs w:val="32"/>
        </w:rPr>
      </w:r>
    </w:p>
    <w:p>
      <w:pPr>
        <w:pStyle w:val="p16"/>
        <w:spacing w:lineRule="atLeast" w:line="600"/>
        <w:rPr>
          <w:color w:val="000000"/>
        </w:rPr>
      </w:pPr>
      <w:r>
        <w:rPr>
          <w:rFonts w:hint="eastAsia"/>
        </w:rPr>
        <w:t xml:space="preserve">    </w:t>
      </w:r>
      <w:r>
        <w:rPr>
          <w:rFonts w:ascii="黑体" w:hAnsi="黑体" w:cs="黑体" w:hint="eastAsia" w:eastAsia="黑体"/>
        </w:rPr>
        <w:t>第</w:t>
      </w:r>
      <w:r>
        <w:rPr>
          <w:rFonts w:ascii="黑体" w:hAnsi="黑体" w:cs="黑体" w:hint="eastAsia" w:eastAsia="黑体"/>
          <w:color w:val="000000"/>
        </w:rPr>
        <w:t>十九条</w:t>
      </w:r>
      <w:r>
        <w:rPr>
          <w:rFonts w:hint="eastAsia"/>
          <w:color w:val="000000"/>
        </w:rPr>
        <w:t xml:space="preserve"> 石材生产加工经营者向大气排放污染物的，应当符合大气污染物排放标准，遵守重点大气污染物排放总量控制要求。</w:t>
      </w:r>
    </w:p>
    <w:p>
      <w:pPr>
        <w:pStyle w:val="p16"/>
        <w:spacing w:lineRule="atLeast" w:line="600"/>
        <w:rPr>
          <w:rFonts w:hint="eastAsia"/>
          <w:color w:val="000000"/>
        </w:rPr>
      </w:pPr>
      <w:r>
        <w:rPr>
          <w:rFonts w:hint="eastAsia"/>
          <w:color w:val="000000"/>
        </w:rPr>
        <w:t xml:space="preserve">   </w:t>
      </w:r>
      <w:r>
        <w:rPr>
          <w:rFonts w:eastAsia="黑体" w:cs="黑体" w:hint="eastAsia" w:ascii="黑体" w:hAnsi="黑体"/>
          <w:color w:val="000000"/>
        </w:rPr>
        <w:t xml:space="preserve"> </w:t>
      </w:r>
      <w:r>
        <w:rPr>
          <w:rFonts w:ascii="黑体" w:hAnsi="黑体" w:cs="黑体" w:hint="eastAsia" w:eastAsia="黑体"/>
          <w:color w:val="000000"/>
        </w:rPr>
        <w:t xml:space="preserve">第二十条 </w:t>
      </w:r>
      <w:r>
        <w:rPr>
          <w:rFonts w:hint="eastAsia"/>
          <w:color w:val="000000"/>
        </w:rPr>
        <w:t>产生粉尘等大气污染物的石材生产加工应当采用湿法作业等清洁生产工艺，或者采取集中收集处理等措施，严格控制粉尘和气态污染物的排放。</w:t>
      </w:r>
    </w:p>
    <w:p>
      <w:pPr>
        <w:pStyle w:val="p16"/>
        <w:spacing w:lineRule="atLeast" w:line="600"/>
        <w:rPr>
          <w:rFonts w:hint="eastAsia"/>
          <w:color w:val="000000"/>
        </w:rPr>
      </w:pPr>
      <w:r>
        <w:rPr>
          <w:rFonts w:hint="eastAsia"/>
          <w:color w:val="000000"/>
        </w:rPr>
        <w:t xml:space="preserve">    </w:t>
      </w:r>
      <w:r>
        <w:rPr>
          <w:rFonts w:ascii="黑体" w:hAnsi="黑体" w:cs="黑体" w:hint="eastAsia" w:eastAsia="黑体"/>
          <w:color w:val="000000"/>
        </w:rPr>
        <w:t xml:space="preserve">第二十一条 </w:t>
      </w:r>
      <w:r>
        <w:rPr>
          <w:rFonts w:hint="eastAsia"/>
          <w:color w:val="000000"/>
        </w:rPr>
        <w:t>产生含挥发性有机物废气的石材生产加工活动应当使用挥发性有机物含量符合质量标准或者要求的原材料和产品，并在密闭空间或者设备中进行。</w:t>
      </w:r>
    </w:p>
    <w:p>
      <w:pPr>
        <w:pStyle w:val="p16"/>
        <w:spacing w:lineRule="atLeast" w:line="600"/>
        <w:rPr>
          <w:rFonts w:hint="eastAsia"/>
          <w:color w:val="000000"/>
        </w:rPr>
      </w:pPr>
      <w:r>
        <w:rPr>
          <w:rFonts w:hint="eastAsia"/>
          <w:color w:val="000000"/>
        </w:rPr>
        <w:t xml:space="preserve">    </w:t>
      </w:r>
      <w:r>
        <w:rPr>
          <w:rFonts w:hint="eastAsia"/>
          <w:color w:val="000000"/>
        </w:rPr>
        <w:t>石材生产加工经营者应当按照规定安装、使用用于收集处理含挥发性有机物废气的污染防治设施，并且保证设施正常运行。</w:t>
      </w:r>
    </w:p>
    <w:p>
      <w:pPr>
        <w:pStyle w:val="p16"/>
        <w:spacing w:lineRule="atLeast" w:line="600"/>
        <w:ind w:firstLine="645" w:end="0"/>
        <w:rPr>
          <w:rFonts w:hint="eastAsia"/>
          <w:color w:val="000000"/>
        </w:rPr>
      </w:pPr>
      <w:r>
        <w:rPr>
          <w:rFonts w:ascii="黑体" w:hAnsi="黑体" w:cs="黑体" w:hint="eastAsia" w:eastAsia="黑体"/>
          <w:color w:val="000000"/>
        </w:rPr>
        <w:t>第二十二条</w:t>
      </w:r>
      <w:r>
        <w:rPr>
          <w:rFonts w:hint="eastAsia"/>
          <w:color w:val="000000"/>
        </w:rPr>
        <w:t xml:space="preserve"> 运输石材废渣、灰浆等散装、流体物料的车辆应当密闭运输，配备卫星定位装置，并按照规定的时间、路线行驶。</w:t>
      </w:r>
    </w:p>
    <w:p>
      <w:pPr>
        <w:pStyle w:val="p16"/>
        <w:spacing w:lineRule="atLeast" w:line="600"/>
        <w:ind w:firstLineChars="200" w:startChars="0" w:start="0" w:endChars="0" w:end="0"/>
        <w:rPr>
          <w:rFonts w:hint="eastAsia"/>
          <w:color w:val="000000"/>
        </w:rPr>
      </w:pPr>
      <w:r>
        <w:rPr>
          <w:rFonts w:ascii="黑体" w:hAnsi="黑体" w:cs="黑体" w:hint="eastAsia" w:eastAsia="黑体"/>
          <w:color w:val="000000"/>
        </w:rPr>
        <w:t>第二十三条</w:t>
      </w:r>
      <w:r>
        <w:rPr>
          <w:rFonts w:hint="eastAsia"/>
          <w:color w:val="000000"/>
        </w:rPr>
        <w:t xml:space="preserve"> 石材生产加工经营者对其产生的石材废渣等废物应当分类收集、处理，进行资源化利用；对暂时不利用或者不能利用的，应当按照规定安全分类存放，或者采取无害化处置措施。贮存石材废物应当采取符合国家环境保护标准的防护措施。</w:t>
      </w:r>
    </w:p>
    <w:p>
      <w:pPr>
        <w:pStyle w:val="p16"/>
        <w:spacing w:lineRule="atLeast" w:line="600"/>
        <w:ind w:firstLine="645" w:end="0"/>
        <w:rPr>
          <w:rFonts w:hint="eastAsia"/>
          <w:color w:val="000000"/>
        </w:rPr>
      </w:pPr>
      <w:r>
        <w:rPr>
          <w:rFonts w:hint="eastAsia"/>
          <w:color w:val="000000"/>
        </w:rPr>
        <w:t>产生、收集、贮存、运输、利用、处置石材废物的单位和其他生产经营者，应当采取防扬散、防流失、防渗漏或者其他防止污染环境的措施；不得擅自倾倒、堆放、丢弃、遗撒石材废物。</w:t>
      </w:r>
    </w:p>
    <w:p>
      <w:pPr>
        <w:pStyle w:val="p16"/>
        <w:spacing w:lineRule="atLeast" w:line="600"/>
        <w:ind w:firstLine="645" w:end="0"/>
        <w:rPr>
          <w:rFonts w:hint="eastAsia"/>
          <w:color w:val="000000"/>
        </w:rPr>
      </w:pPr>
      <w:r>
        <w:rPr>
          <w:rFonts w:hint="eastAsia"/>
          <w:color w:val="000000"/>
        </w:rPr>
        <w:t>禁止任何单位或者个人向江河、湖泊、运河、渠道、水库及其最高水位线以下的滩地和岸坡以及法律法规规定的其他地点倾倒、堆放、存贮石材废物。</w:t>
      </w:r>
    </w:p>
    <w:p>
      <w:pPr>
        <w:pStyle w:val="p16"/>
        <w:spacing w:lineRule="atLeast" w:line="600"/>
        <w:rPr>
          <w:rFonts w:hint="eastAsia"/>
          <w:color w:val="000000"/>
        </w:rPr>
      </w:pPr>
      <w:r>
        <w:rPr>
          <w:rFonts w:hint="eastAsia"/>
          <w:color w:val="000000"/>
        </w:rPr>
        <w:t xml:space="preserve">   </w:t>
      </w:r>
      <w:r>
        <w:rPr>
          <w:rFonts w:eastAsia="黑体" w:cs="黑体" w:hint="eastAsia" w:ascii="黑体" w:hAnsi="黑体"/>
          <w:color w:val="000000"/>
        </w:rPr>
        <w:t xml:space="preserve"> </w:t>
      </w:r>
      <w:r>
        <w:rPr>
          <w:rFonts w:ascii="黑体" w:hAnsi="黑体" w:cs="黑体" w:hint="eastAsia" w:eastAsia="黑体"/>
          <w:color w:val="000000"/>
        </w:rPr>
        <w:t>第二十四条</w:t>
      </w:r>
      <w:r>
        <w:rPr>
          <w:rFonts w:hint="eastAsia"/>
          <w:color w:val="000000"/>
        </w:rPr>
        <w:t xml:space="preserve"> 石材生产加工经营者应当将危险废物提供或者委托给具有危险废物经营许可证的单位或者其他生产经营者进行处置。</w:t>
      </w:r>
    </w:p>
    <w:p>
      <w:pPr>
        <w:pStyle w:val="p16"/>
        <w:spacing w:lineRule="atLeast" w:line="600"/>
        <w:ind w:firstLine="645" w:end="0"/>
        <w:rPr>
          <w:rFonts w:hint="eastAsia"/>
          <w:color w:val="000000"/>
        </w:rPr>
      </w:pPr>
      <w:r>
        <w:rPr>
          <w:rFonts w:hint="eastAsia"/>
          <w:color w:val="000000"/>
        </w:rPr>
        <w:t>收集、贮存、运输、利用、处置危险废物的场所、设施、设备和容器、包装物及其他物品转作他用时，应当按照国家有关规定经过消除污染处理，方可使用。</w:t>
      </w:r>
    </w:p>
    <w:p>
      <w:pPr>
        <w:pStyle w:val="p16"/>
        <w:spacing w:lineRule="atLeast" w:line="600"/>
        <w:ind w:firstLine="645" w:end="0"/>
        <w:rPr>
          <w:rFonts w:hint="eastAsia"/>
          <w:color w:val="000000"/>
        </w:rPr>
      </w:pPr>
      <w:r>
        <w:rPr>
          <w:rFonts w:ascii="黑体" w:hAnsi="黑体" w:cs="黑体" w:hint="eastAsia" w:eastAsia="黑体"/>
          <w:color w:val="000000"/>
        </w:rPr>
        <w:t>第二十五条</w:t>
      </w:r>
      <w:r>
        <w:rPr>
          <w:rFonts w:hint="eastAsia"/>
          <w:color w:val="000000"/>
        </w:rPr>
        <w:t xml:space="preserve"> 石材生产加工经营者应当建立废渣等石材废物的管理台账，如实记录所产生废物的种类、数量、流向、贮存、利用、处置等信息，实现石材废物可追溯、可查询。</w:t>
      </w:r>
    </w:p>
    <w:p>
      <w:pPr>
        <w:pStyle w:val="p16"/>
        <w:spacing w:lineRule="atLeast" w:line="600"/>
        <w:ind w:firstLineChars="200" w:startChars="0" w:start="0" w:endChars="0" w:end="0"/>
        <w:rPr>
          <w:rFonts w:hint="eastAsia"/>
          <w:color w:val="000000"/>
        </w:rPr>
      </w:pPr>
      <w:r>
        <w:rPr>
          <w:rFonts w:hint="eastAsia"/>
          <w:color w:val="000000"/>
        </w:rPr>
        <w:t>管理台账的保存期限不少于三年。</w:t>
      </w:r>
    </w:p>
    <w:p>
      <w:pPr>
        <w:pStyle w:val="p16"/>
        <w:spacing w:lineRule="atLeast" w:line="600"/>
        <w:ind w:firstLineChars="200" w:startChars="0" w:start="0" w:endChars="0" w:end="0"/>
        <w:rPr>
          <w:rFonts w:hint="eastAsia"/>
          <w:strike/>
          <w:color w:val="000000"/>
        </w:rPr>
      </w:pPr>
      <w:r>
        <w:rPr>
          <w:rFonts w:ascii="黑体" w:hAnsi="黑体" w:cs="黑体" w:hint="eastAsia" w:eastAsia="黑体"/>
          <w:color w:val="000000"/>
        </w:rPr>
        <w:t>第二十六条</w:t>
      </w:r>
      <w:r>
        <w:rPr>
          <w:rFonts w:hint="eastAsia"/>
          <w:color w:val="000000"/>
        </w:rPr>
        <w:t xml:space="preserve"> 石材生产加工经营者排放水污染物，不得超过国家或者地方规定的水污染物排放标准和重点水污染物排放总量控制指标。</w:t>
      </w:r>
    </w:p>
    <w:p>
      <w:pPr>
        <w:pStyle w:val="p16"/>
        <w:spacing w:lineRule="atLeast" w:line="600"/>
        <w:ind w:firstLineChars="200" w:startChars="0" w:start="0" w:endChars="0" w:end="0"/>
        <w:rPr>
          <w:rFonts w:hint="eastAsia"/>
          <w:strike/>
          <w:color w:val="000000"/>
        </w:rPr>
      </w:pPr>
      <w:r>
        <w:rPr>
          <w:rFonts w:ascii="黑体" w:hAnsi="黑体" w:cs="黑体" w:hint="eastAsia" w:eastAsia="黑体"/>
          <w:color w:val="000000"/>
        </w:rPr>
        <w:t>第二十七条</w:t>
      </w:r>
      <w:r>
        <w:rPr>
          <w:rFonts w:hint="eastAsia"/>
          <w:color w:val="000000"/>
        </w:rPr>
        <w:t xml:space="preserve"> 石材生产加工经营者应当采取有效措施，收集和处理生产加工产生的全部废水，防止污染环境。含有毒有害水污染物的生产加工废水应当分类收集和处理，不得稀释排放。</w:t>
      </w:r>
    </w:p>
    <w:p>
      <w:pPr>
        <w:pStyle w:val="p16"/>
        <w:spacing w:lineRule="atLeast" w:line="600"/>
        <w:ind w:firstLineChars="200" w:startChars="0" w:start="0" w:endChars="0" w:end="0"/>
        <w:rPr>
          <w:rFonts w:hint="eastAsia"/>
          <w:strike/>
          <w:color w:val="000000"/>
        </w:rPr>
      </w:pPr>
      <w:r>
        <w:rPr>
          <w:rFonts w:hint="eastAsia"/>
          <w:color w:val="000000"/>
        </w:rPr>
        <w:t>向工业集聚区的污水集中处理设施排放石材生产加工废水的，应当按照有关规定进行预处理，达到集中处理设施处理工艺要求后方可排放。</w:t>
      </w:r>
    </w:p>
    <w:p>
      <w:pPr>
        <w:pStyle w:val="p16"/>
        <w:spacing w:lineRule="atLeast" w:line="600"/>
        <w:ind w:firstLineChars="200" w:startChars="0" w:start="0" w:endChars="0" w:end="0"/>
        <w:rPr>
          <w:rFonts w:hint="eastAsia"/>
          <w:strike/>
        </w:rPr>
      </w:pPr>
      <w:r>
        <w:rPr>
          <w:rFonts w:ascii="黑体" w:hAnsi="黑体" w:cs="黑体" w:hint="eastAsia" w:eastAsia="黑体"/>
          <w:color w:val="000000"/>
        </w:rPr>
        <w:t>第二十八条</w:t>
      </w:r>
      <w:r>
        <w:rPr>
          <w:rFonts w:hint="eastAsia"/>
          <w:color w:val="000000"/>
        </w:rPr>
        <w:t xml:space="preserve"> 石材生</w:t>
      </w:r>
      <w:r>
        <w:rPr>
          <w:rFonts w:hint="eastAsia"/>
        </w:rPr>
        <w:t>产加工经营者应当采用循环用水技术、工艺和设备，对生产加工过程中产生的废水进行循环利用。</w:t>
      </w:r>
    </w:p>
    <w:p>
      <w:pPr>
        <w:pStyle w:val="p16"/>
        <w:spacing w:lineRule="atLeast" w:line="600"/>
        <w:rPr>
          <w:rFonts w:hint="eastAsia"/>
          <w:strike/>
        </w:rPr>
      </w:pPr>
      <w:r>
        <w:rPr>
          <w:rFonts w:hint="eastAsia"/>
          <w:strike/>
        </w:rPr>
      </w:r>
    </w:p>
    <w:p>
      <w:pPr>
        <w:pStyle w:val="p15"/>
        <w:spacing w:lineRule="atLeast" w:line="600" w:before="0" w:after="0"/>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第四章  法律责任</w:t>
      </w:r>
    </w:p>
    <w:p>
      <w:pPr>
        <w:pStyle w:val="p16"/>
        <w:spacing w:lineRule="atLeast" w:line="600"/>
        <w:rPr>
          <w:rFonts w:ascii="Times New Roman" w:hAnsi="Times New Roman" w:eastAsia="黑体" w:cs="Times New Roman" w:hint="eastAsia"/>
          <w:b w:val="false"/>
          <w:bCs w:val="false"/>
          <w:sz w:val="32"/>
          <w:szCs w:val="32"/>
        </w:rPr>
      </w:pPr>
      <w:r>
        <w:rPr>
          <w:rFonts w:eastAsia="黑体" w:cs="Times New Roman" w:hint="eastAsia" w:ascii="Times New Roman" w:hAnsi="Times New Roman"/>
          <w:b w:val="false"/>
          <w:bCs w:val="false"/>
          <w:sz w:val="32"/>
          <w:szCs w:val="32"/>
        </w:rPr>
      </w:r>
    </w:p>
    <w:p>
      <w:pPr>
        <w:pStyle w:val="p16"/>
        <w:spacing w:lineRule="atLeast" w:line="600"/>
        <w:ind w:firstLineChars="200" w:startChars="0" w:start="0" w:endChars="0" w:end="0"/>
        <w:rPr>
          <w:color w:val="000000"/>
        </w:rPr>
      </w:pPr>
      <w:r>
        <w:rPr>
          <w:rFonts w:ascii="黑体" w:hAnsi="黑体" w:cs="黑体" w:hint="eastAsia" w:eastAsia="黑体"/>
        </w:rPr>
        <w:t>第二</w:t>
      </w:r>
      <w:r>
        <w:rPr>
          <w:rFonts w:ascii="黑体" w:hAnsi="黑体" w:cs="黑体" w:hint="eastAsia" w:eastAsia="黑体"/>
          <w:color w:val="000000"/>
        </w:rPr>
        <w:t>十九条</w:t>
      </w:r>
      <w:r>
        <w:rPr>
          <w:rFonts w:hint="eastAsia"/>
          <w:color w:val="000000"/>
        </w:rPr>
        <w:t xml:space="preserve"> 生态环境主管部门或者其他负有石材生产加工污染防治监督管理职责的部门违反本条例规定不履行职责的，由有关机关责令改正，对直接负责的主管人员和其他直接责任人员依法给予处分。</w:t>
      </w:r>
    </w:p>
    <w:p>
      <w:pPr>
        <w:pStyle w:val="p16"/>
        <w:spacing w:lineRule="atLeast" w:line="600"/>
        <w:ind w:firstLineChars="230" w:startChars="0" w:start="0" w:endChars="0" w:end="0"/>
        <w:rPr>
          <w:rFonts w:hint="eastAsia"/>
        </w:rPr>
      </w:pPr>
      <w:r>
        <w:rPr>
          <w:rFonts w:ascii="黑体" w:hAnsi="黑体" w:cs="黑体" w:hint="eastAsia" w:eastAsia="黑体"/>
          <w:bCs/>
          <w:color w:val="000000"/>
        </w:rPr>
        <w:t>第三十条</w:t>
      </w:r>
      <w:r>
        <w:rPr>
          <w:rFonts w:hint="eastAsia"/>
          <w:b/>
          <w:bCs/>
          <w:color w:val="000000"/>
        </w:rPr>
        <w:t xml:space="preserve"> </w:t>
      </w:r>
      <w:r>
        <w:rPr>
          <w:rFonts w:hint="eastAsia"/>
          <w:color w:val="000000"/>
        </w:rPr>
        <w:t>石材生产加工经营者违反本条例第十二条规定，有以下行为之一的，</w:t>
      </w:r>
      <w:r>
        <w:rPr>
          <w:rFonts w:hint="eastAsia"/>
        </w:rPr>
        <w:t>由生态环境主管部门责令其限期改正，并依照《中华人民共和国环境影响评价法》《中华人民共和国水污染防治法》《建设项目环境保护管理条例》等相关法律法规的规定处罚：</w:t>
      </w:r>
    </w:p>
    <w:p>
      <w:pPr>
        <w:pStyle w:val="p16"/>
        <w:spacing w:lineRule="atLeast" w:line="600"/>
        <w:ind w:firstLineChars="230" w:startChars="0" w:start="0" w:endChars="0" w:end="0"/>
        <w:rPr>
          <w:rFonts w:hint="eastAsia"/>
        </w:rPr>
      </w:pPr>
      <w:r>
        <w:rPr>
          <w:rFonts w:hint="eastAsia"/>
        </w:rPr>
        <w:t>（一）建设单位未依法提交石材生产加工建设项目环境影响评价文件或者环境影响评价文件未经批准，擅自开工建设的；</w:t>
      </w:r>
    </w:p>
    <w:p>
      <w:pPr>
        <w:pStyle w:val="p16"/>
        <w:spacing w:lineRule="atLeast" w:line="600"/>
        <w:ind w:firstLineChars="230" w:startChars="0" w:start="0" w:endChars="0" w:end="0"/>
        <w:rPr>
          <w:rFonts w:hint="eastAsia"/>
        </w:rPr>
      </w:pPr>
      <w:r>
        <w:rPr>
          <w:rFonts w:hint="eastAsia"/>
        </w:rPr>
        <w:t>（二）需要配套建设的环境保护设施未建成、未经验收或者验收不合格，主体工程即投入生产或者使用的；</w:t>
      </w:r>
    </w:p>
    <w:p>
      <w:pPr>
        <w:pStyle w:val="p16"/>
        <w:spacing w:lineRule="atLeast" w:line="600"/>
        <w:ind w:firstLineChars="230" w:startChars="0" w:start="0" w:endChars="0" w:end="0"/>
        <w:rPr>
          <w:rFonts w:hint="eastAsia"/>
        </w:rPr>
      </w:pPr>
      <w:r>
        <w:rPr>
          <w:rFonts w:hint="eastAsia"/>
        </w:rPr>
        <w:t>（三）未依法取得排污许可证排放污染物的，或者不按照排污许可证的要求排放污染物的。</w:t>
      </w:r>
    </w:p>
    <w:p>
      <w:pPr>
        <w:pStyle w:val="p16"/>
        <w:spacing w:lineRule="atLeast" w:line="600"/>
        <w:ind w:firstLine="645" w:end="0"/>
        <w:rPr>
          <w:rFonts w:hint="eastAsia"/>
          <w:color w:val="000000"/>
        </w:rPr>
      </w:pPr>
      <w:r>
        <w:rPr>
          <w:rFonts w:ascii="黑体" w:hAnsi="黑体" w:cs="黑体" w:hint="eastAsia" w:eastAsia="黑体"/>
        </w:rPr>
        <w:t>第</w:t>
      </w:r>
      <w:r>
        <w:rPr>
          <w:rFonts w:ascii="黑体" w:hAnsi="黑体" w:cs="黑体" w:hint="eastAsia" w:eastAsia="黑体"/>
          <w:color w:val="000000"/>
        </w:rPr>
        <w:t>三十一条</w:t>
      </w:r>
      <w:r>
        <w:rPr>
          <w:rFonts w:hint="eastAsia"/>
          <w:color w:val="000000"/>
        </w:rPr>
        <w:t xml:space="preserve"> 违反本条例第十九条规定，超过大气污染物排放标准或者超过重点大气污染物排放总量控制指标排放大气污染物的，由生态环境主管部门责令改正或者限制生产、停产整治，并处十万元以上一百万元以下的罚款；情节严重的，报经有批准权的人民政府批准，责令停业、关闭。</w:t>
      </w:r>
    </w:p>
    <w:p>
      <w:pPr>
        <w:pStyle w:val="p16"/>
        <w:spacing w:lineRule="atLeast" w:line="600"/>
        <w:ind w:firstLine="645" w:end="0"/>
        <w:rPr>
          <w:rFonts w:hint="eastAsia"/>
          <w:color w:val="000000"/>
        </w:rPr>
      </w:pPr>
      <w:r>
        <w:rPr>
          <w:rFonts w:ascii="黑体" w:hAnsi="黑体" w:cs="黑体" w:hint="eastAsia" w:eastAsia="黑体"/>
          <w:color w:val="000000"/>
        </w:rPr>
        <w:t>第三十二条</w:t>
      </w:r>
      <w:r>
        <w:rPr>
          <w:rFonts w:hint="eastAsia"/>
          <w:color w:val="000000"/>
        </w:rPr>
        <w:t xml:space="preserve"> 违反本条例第二十条规定，产生粉尘等大气污染物的石材生产加工活动未按照规定采取集中收集处理等措施，严格控制粉尘和气态污染物的排放的，由生态环境主管部门责令改正，处二万元以上二十万元以下的罚款；拒不改正的，责令停产整治。</w:t>
      </w:r>
    </w:p>
    <w:p>
      <w:pPr>
        <w:pStyle w:val="p16"/>
        <w:spacing w:lineRule="atLeast" w:line="600"/>
        <w:ind w:firstLine="645" w:end="0"/>
        <w:rPr>
          <w:rFonts w:hint="eastAsia"/>
          <w:color w:val="000000"/>
        </w:rPr>
      </w:pPr>
      <w:r>
        <w:rPr>
          <w:rFonts w:ascii="黑体" w:hAnsi="黑体" w:cs="黑体" w:hint="eastAsia" w:eastAsia="黑体"/>
          <w:color w:val="000000"/>
        </w:rPr>
        <w:t>第三十三条</w:t>
      </w:r>
      <w:r>
        <w:rPr>
          <w:rFonts w:hint="eastAsia"/>
          <w:color w:val="000000"/>
        </w:rPr>
        <w:t xml:space="preserve"> 违反本条例第二十一条规定，产生含挥发性有机物废气的石材生产加工活动，未在密闭空间或者设备中进行，或者未按照规定安装、使用用于收集处理含挥发性有机物废气污染防治设施的，由生态环境主管部门责令改正，处二万元以上二十万元以下的罚款；拒不改正的，责令停产整治。</w:t>
      </w:r>
    </w:p>
    <w:p>
      <w:pPr>
        <w:pStyle w:val="p16"/>
        <w:spacing w:lineRule="atLeast" w:line="600"/>
        <w:ind w:firstLine="645" w:end="0"/>
        <w:rPr>
          <w:rFonts w:hint="eastAsia"/>
          <w:color w:val="000000"/>
        </w:rPr>
      </w:pPr>
      <w:r>
        <w:rPr>
          <w:rFonts w:ascii="黑体" w:hAnsi="黑体" w:cs="黑体" w:hint="eastAsia" w:eastAsia="黑体"/>
          <w:color w:val="000000"/>
        </w:rPr>
        <w:t>第三十四条</w:t>
      </w:r>
      <w:r>
        <w:rPr>
          <w:rFonts w:hint="eastAsia"/>
          <w:color w:val="000000"/>
        </w:rPr>
        <w:t xml:space="preserve"> 违反本条例第二十二条规定，运输石材废渣、灰浆等散装、流体物料的车辆，未采取密闭运输、未配备卫星定位装置、或者未按照规定的时间、路线要求行驶的，由交通运输主管部门责令改正，处五千元以上二万元以下的罚款；拒不改正的，车辆不得上道路行驶。</w:t>
      </w:r>
    </w:p>
    <w:p>
      <w:pPr>
        <w:pStyle w:val="p16"/>
        <w:spacing w:lineRule="atLeast" w:line="600"/>
        <w:ind w:firstLine="645" w:end="0"/>
        <w:rPr>
          <w:rFonts w:hint="eastAsia"/>
          <w:color w:val="000000"/>
        </w:rPr>
      </w:pPr>
      <w:r>
        <w:rPr>
          <w:rFonts w:ascii="黑体" w:hAnsi="黑体" w:cs="黑体" w:hint="eastAsia" w:eastAsia="黑体"/>
          <w:color w:val="000000"/>
        </w:rPr>
        <w:t>第三十五条</w:t>
      </w:r>
      <w:r>
        <w:rPr>
          <w:rFonts w:hint="eastAsia"/>
          <w:color w:val="000000"/>
        </w:rPr>
        <w:t xml:space="preserve"> 违反本条例第二十三条第一、二款规定，有下列行为之一的，由生态环境主管部门责令改正，处以罚款，没收违法所得；情节严重的，报经有批准权的人民政府批准，可以责令停业或者关闭：</w:t>
      </w:r>
    </w:p>
    <w:p>
      <w:pPr>
        <w:pStyle w:val="p16"/>
        <w:spacing w:lineRule="atLeast" w:line="600"/>
        <w:ind w:firstLine="645" w:end="0"/>
        <w:rPr>
          <w:rFonts w:hint="eastAsia"/>
          <w:color w:val="000000"/>
        </w:rPr>
      </w:pPr>
      <w:r>
        <w:rPr>
          <w:rFonts w:hint="eastAsia"/>
          <w:color w:val="000000"/>
        </w:rPr>
        <w:t>（一）贮存石材废物未采取符合国家环境保护标准的防护措施的，处十万元以上一百万元以下的罚款；</w:t>
      </w:r>
    </w:p>
    <w:p>
      <w:pPr>
        <w:pStyle w:val="p16"/>
        <w:spacing w:lineRule="atLeast" w:line="600"/>
        <w:ind w:firstLine="645" w:end="0"/>
        <w:rPr>
          <w:rFonts w:hint="eastAsia"/>
          <w:color w:val="000000"/>
        </w:rPr>
      </w:pPr>
      <w:r>
        <w:rPr>
          <w:rFonts w:hint="eastAsia"/>
          <w:color w:val="000000"/>
        </w:rPr>
        <w:t>（二）擅自倾倒、堆放、丢弃、遗撒石材废物，或者未采取相应防范措施，造成石材废物扬散、流失、渗漏或者其他环境污染的，处所需处置费用一倍以上三倍以下的罚款，所需处置费用不足十万元的，按十万元计算；</w:t>
      </w:r>
    </w:p>
    <w:p>
      <w:pPr>
        <w:pStyle w:val="p16"/>
        <w:spacing w:lineRule="atLeast" w:line="600"/>
        <w:ind w:firstLine="645" w:end="0"/>
        <w:rPr>
          <w:rFonts w:hint="eastAsia"/>
          <w:color w:val="000000"/>
        </w:rPr>
      </w:pPr>
      <w:r>
        <w:rPr>
          <w:rFonts w:hint="eastAsia"/>
          <w:color w:val="000000"/>
        </w:rPr>
        <w:t>违反本条例第二十三条第三款规定，向江河、湖泊、运河、渠道、水库及其最高水位线以下的滩地和岸坡以及法律法规规定的其他地点倾倒、堆放、存贮石材废物的，由生态环境主管部门责令停止违法行为，限期采取治理措施，消除污染，处二万元以上二十万元以下的罚款；逾期不采取治理措施的，生态环境主管部门可以指定有治理能力的单位代为治理，所需费用由违法者承担。</w:t>
      </w:r>
    </w:p>
    <w:p>
      <w:pPr>
        <w:pStyle w:val="p16"/>
        <w:spacing w:lineRule="atLeast" w:line="600"/>
        <w:ind w:firstLineChars="200" w:startChars="0" w:start="0" w:endChars="0" w:end="0"/>
        <w:rPr>
          <w:rFonts w:hint="eastAsia"/>
          <w:color w:val="000000"/>
        </w:rPr>
      </w:pPr>
      <w:r>
        <w:rPr>
          <w:rFonts w:ascii="黑体" w:hAnsi="黑体" w:cs="黑体" w:hint="eastAsia" w:eastAsia="黑体"/>
          <w:color w:val="000000"/>
        </w:rPr>
        <w:t>第三十六条</w:t>
      </w:r>
      <w:r>
        <w:rPr>
          <w:rFonts w:hint="eastAsia"/>
          <w:color w:val="000000"/>
        </w:rPr>
        <w:t xml:space="preserve"> 违反本条例第二十四条第一款规定，将危险废物提供或者委托给无危险废物经营许可证的单位或其他生产经营者处置的，由生态环境主管部门责令改正，处以所需处置费用三倍以上五倍以下的罚款，所需处置费用不足二十万元的，按二十万元计算，没收违法所得；情节严重的，报经有批准权的人民政府批准，可以责令停业或者关闭。</w:t>
      </w:r>
    </w:p>
    <w:p>
      <w:pPr>
        <w:pStyle w:val="p16"/>
        <w:spacing w:lineRule="atLeast" w:line="600"/>
        <w:ind w:firstLineChars="200" w:startChars="0" w:start="0" w:endChars="0" w:end="0"/>
        <w:rPr>
          <w:rFonts w:hint="eastAsia"/>
          <w:color w:val="000000"/>
        </w:rPr>
      </w:pPr>
      <w:r>
        <w:rPr>
          <w:rFonts w:hint="eastAsia"/>
          <w:color w:val="000000"/>
        </w:rPr>
        <w:t>违反本条例第二十四条第二款规定，未经消除污染处理，将收集、贮存、运输、处置危险废物的场所、设施、设备和容器、包装物及其他物品转作他用的，由生态环境主管部门责令改正，处十万元以上一百万元以下的罚款，没收违法所得；情节严重的，报经有批准权的人民政府批准，可以责令停业或者关闭。</w:t>
      </w:r>
    </w:p>
    <w:p>
      <w:pPr>
        <w:pStyle w:val="p16"/>
        <w:spacing w:lineRule="atLeast" w:line="600"/>
        <w:ind w:firstLineChars="200" w:startChars="0" w:start="0" w:endChars="0" w:end="0"/>
        <w:rPr>
          <w:rFonts w:hint="eastAsia"/>
          <w:color w:val="000000"/>
        </w:rPr>
      </w:pPr>
      <w:r>
        <w:rPr>
          <w:rFonts w:ascii="黑体" w:hAnsi="黑体" w:cs="黑体" w:hint="eastAsia" w:eastAsia="黑体"/>
          <w:color w:val="000000"/>
        </w:rPr>
        <w:t>第三十七条</w:t>
      </w:r>
      <w:r>
        <w:rPr>
          <w:rFonts w:hint="eastAsia"/>
          <w:color w:val="000000"/>
        </w:rPr>
        <w:t xml:space="preserve"> 违反本条例第二十五条规定，未建立废渣等石材废物管理台账并如实记录的，由生态环境主管部门责令改正，处五万元以上二十万元以下的罚款，没收违法所得；情节严重的，报经有批准权的人民政府批准，可以责令停业或者关闭。</w:t>
      </w:r>
    </w:p>
    <w:p>
      <w:pPr>
        <w:pStyle w:val="p16"/>
        <w:spacing w:lineRule="atLeast" w:line="600"/>
        <w:ind w:firstLineChars="200" w:startChars="0" w:start="0" w:endChars="0" w:end="0"/>
        <w:rPr>
          <w:rFonts w:hint="eastAsia"/>
          <w:color w:val="000000"/>
        </w:rPr>
      </w:pPr>
      <w:r>
        <w:rPr>
          <w:rFonts w:ascii="黑体" w:hAnsi="黑体" w:cs="黑体" w:hint="eastAsia" w:eastAsia="黑体"/>
          <w:color w:val="000000"/>
        </w:rPr>
        <w:t>第三十八条</w:t>
      </w:r>
      <w:r>
        <w:rPr>
          <w:rFonts w:hint="eastAsia"/>
          <w:b/>
          <w:bCs/>
          <w:color w:val="000000"/>
        </w:rPr>
        <w:t xml:space="preserve"> </w:t>
      </w:r>
      <w:r>
        <w:rPr>
          <w:rFonts w:hint="eastAsia"/>
          <w:color w:val="000000"/>
        </w:rPr>
        <w:t>违反本条例第二十六条规定，超过水污染物排放标准或者超过重点水污染物排放总量控制指标排放水污染物的，由生态环境主管部门责令改正或者责令限制生产、停产整治，并处十万元以上一百万元以下的罚款；情节严重的，报经有批准权的人民政府批准，责令停业、关闭。</w:t>
      </w:r>
    </w:p>
    <w:p>
      <w:pPr>
        <w:pStyle w:val="p16"/>
        <w:spacing w:lineRule="atLeast" w:line="600"/>
        <w:ind w:firstLineChars="200" w:startChars="0" w:start="0" w:endChars="0" w:end="0"/>
        <w:rPr>
          <w:rFonts w:hint="eastAsia"/>
        </w:rPr>
      </w:pPr>
      <w:r>
        <w:rPr>
          <w:rFonts w:ascii="黑体" w:hAnsi="黑体" w:cs="黑体" w:hint="eastAsia" w:eastAsia="黑体"/>
          <w:color w:val="000000"/>
        </w:rPr>
        <w:t>第三十九条</w:t>
      </w:r>
      <w:r>
        <w:rPr>
          <w:rFonts w:hint="eastAsia"/>
          <w:color w:val="000000"/>
        </w:rPr>
        <w:t xml:space="preserve"> 违反本条例第二十七条第二款规定，未按照规定进行预处理，向污水集中处理设施排放不符合处理工艺要求的工业废水的，由生态环境主管部门责令改正或者责令限制生产、停产整治，并处十万元以上一百万元以下的罚款；情节严重的，报经有批准权的人民政府</w:t>
      </w:r>
      <w:r>
        <w:rPr>
          <w:rFonts w:hint="eastAsia"/>
        </w:rPr>
        <w:t>批准，责令停业、关闭。</w:t>
      </w:r>
    </w:p>
    <w:p>
      <w:pPr>
        <w:pStyle w:val="p16"/>
        <w:spacing w:lineRule="atLeast" w:line="600"/>
        <w:ind w:firstLineChars="200" w:startChars="0" w:start="0" w:endChars="0" w:end="0"/>
        <w:rPr>
          <w:rFonts w:hint="eastAsia"/>
          <w:color w:val="FF0000"/>
        </w:rPr>
      </w:pPr>
      <w:r>
        <w:rPr>
          <w:rFonts w:ascii="黑体" w:hAnsi="黑体" w:cs="黑体" w:hint="eastAsia" w:eastAsia="黑体"/>
        </w:rPr>
        <w:t>第四十条</w:t>
      </w:r>
      <w:r>
        <w:rPr>
          <w:rFonts w:hint="eastAsia"/>
        </w:rPr>
        <w:t xml:space="preserve"> 违反本条例规定，法律、行政法规已有行政处罚规定的，从其规定；造成损失的，应当依法予以赔偿。</w:t>
      </w:r>
    </w:p>
    <w:p>
      <w:pPr>
        <w:pStyle w:val="p16"/>
        <w:spacing w:lineRule="atLeast" w:line="600"/>
        <w:rPr>
          <w:rFonts w:hint="eastAsia"/>
          <w:color w:val="FF0000"/>
        </w:rPr>
      </w:pPr>
      <w:r>
        <w:rPr>
          <w:rFonts w:hint="eastAsia"/>
          <w:color w:val="FF0000"/>
        </w:rPr>
      </w:r>
    </w:p>
    <w:p>
      <w:pPr>
        <w:pStyle w:val="p15"/>
        <w:spacing w:lineRule="atLeast" w:line="600" w:before="0" w:after="0"/>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第五章  附  则</w:t>
      </w:r>
    </w:p>
    <w:p>
      <w:pPr>
        <w:pStyle w:val="p16"/>
        <w:spacing w:lineRule="atLeast" w:line="600"/>
        <w:rPr>
          <w:rFonts w:ascii="Times New Roman" w:hAnsi="Times New Roman" w:eastAsia="黑体" w:cs="Times New Roman" w:hint="eastAsia"/>
          <w:b w:val="false"/>
          <w:bCs w:val="false"/>
          <w:sz w:val="32"/>
          <w:szCs w:val="32"/>
        </w:rPr>
      </w:pPr>
      <w:r>
        <w:rPr>
          <w:rFonts w:eastAsia="黑体" w:cs="Times New Roman" w:hint="eastAsia" w:ascii="Times New Roman" w:hAnsi="Times New Roman"/>
          <w:b w:val="false"/>
          <w:bCs w:val="false"/>
          <w:sz w:val="32"/>
          <w:szCs w:val="32"/>
        </w:rPr>
      </w:r>
    </w:p>
    <w:p>
      <w:pPr>
        <w:pStyle w:val="Normal"/>
        <w:ind w:firstLineChars="200" w:startChars="0" w:start="0" w:endChars="0" w:end="0"/>
        <w:rPr/>
      </w:pPr>
      <w:r>
        <w:rPr>
          <w:rFonts w:ascii="黑体" w:hAnsi="黑体" w:cs="黑体" w:hint="eastAsia" w:eastAsia="黑体"/>
        </w:rPr>
        <w:t>第四十一条</w:t>
      </w:r>
      <w:r>
        <w:rPr>
          <w:rFonts w:hint="eastAsia"/>
        </w:rPr>
        <w:t xml:space="preserve"> 本条例自</w:t>
      </w:r>
      <w:r>
        <w:rPr>
          <w:rFonts w:hint="eastAsia"/>
        </w:rPr>
        <w:t>2021</w:t>
      </w:r>
      <w:r>
        <w:rPr>
          <w:rFonts w:hint="eastAsia"/>
        </w:rPr>
        <w:t>年</w:t>
      </w:r>
      <w:r>
        <w:rPr>
          <w:rFonts w:hint="eastAsia"/>
        </w:rPr>
        <w:t>3</w:t>
      </w:r>
      <w:r>
        <w:rPr>
          <w:rFonts w:hint="eastAsia"/>
        </w:rPr>
        <w:t>月</w:t>
      </w:r>
      <w:r>
        <w:rPr>
          <w:rFonts w:hint="eastAsia"/>
        </w:rPr>
        <w:t>1</w:t>
      </w:r>
      <w:r>
        <w:rPr>
          <w:rFonts w:hint="eastAsia"/>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仿宋_GB2312">
    <w:charset w:val="86"/>
    <w:family w:val="auto"/>
    <w:pitch w:val="default"/>
  </w:font>
  <w:font w:name="方正小标宋简体">
    <w:charset w:val="86"/>
    <w:family w:val="auto"/>
    <w:pitch w:val="default"/>
  </w:font>
  <w:font w:name="Times New Roman">
    <w:charset w:val="01"/>
    <w:family w:val="roma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16">
    <w:name w:val="p16"/>
    <w:basedOn w:val="Normal"/>
    <w:qFormat/>
    <w:pPr>
      <w:widowControl/>
    </w:pPr>
    <w:rPr>
      <w:rFonts w:ascii="仿宋_GB2312" w:hAnsi="仿宋_GB2312" w:eastAsia="仿宋_GB2312" w:cs="宋体"/>
      <w:kern w:val="0"/>
      <w:sz w:val="32"/>
      <w:szCs w:val="32"/>
    </w:rPr>
  </w:style>
  <w:style w:type="paragraph" w:styleId="p15">
    <w:name w:val="p15"/>
    <w:basedOn w:val="Normal"/>
    <w:qFormat/>
    <w:pPr>
      <w:widowControl/>
      <w:spacing w:lineRule="auto" w:line="576" w:before="340" w:after="330"/>
    </w:pPr>
    <w:rPr>
      <w:rFonts w:ascii="仿宋_GB2312" w:hAnsi="仿宋_GB2312" w:eastAsia="仿宋_GB2312" w:cs="宋体"/>
      <w:b/>
      <w:bCs/>
      <w:kern w:val="0"/>
      <w:sz w:val="44"/>
      <w:szCs w:val="44"/>
    </w:rPr>
  </w:style>
  <w:style w:type="paragraph" w:styleId="p17">
    <w:name w:val="p17"/>
    <w:basedOn w:val="Normal"/>
    <w:qFormat/>
    <w:pPr>
      <w:widowControl/>
    </w:pPr>
    <w:rPr>
      <w:rFonts w:ascii="仿宋_GB2312" w:hAnsi="仿宋_GB2312" w:eastAsia="仿宋_GB2312" w:cs="宋体"/>
      <w:kern w:val="0"/>
      <w:sz w:val="32"/>
      <w:szCs w:val="32"/>
    </w:rPr>
  </w:style>
  <w:style w:type="paragraph" w:styleId="Style15">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NormalIndent">
    <w:name w:val="Normal Indent"/>
    <w:basedOn w:val="Normal"/>
    <w:qFormat/>
    <w:pPr>
      <w:ind w:firstLineChars="200" w:startChars="0" w:start="0" w:endChars="0" w:end="0"/>
    </w:pPr>
    <w:rPr>
      <w:rFonts w:ascii="Times New Roman" w:hAnsi="Times New Roman" w:eastAsia="宋体" w:cs="Times New Roman"/>
      <w:sz w:val="32"/>
      <w:szCs w:val="32"/>
    </w:rPr>
  </w:style>
  <w:style w:type="paragraph" w:styleId="NewNewNew">
    <w:name w:val="正文 New New New"/>
    <w:basedOn w:val="Normal"/>
    <w:qFormat/>
    <w:pPr>
      <w:widowControl w:val="false"/>
      <w:jc w:val="both"/>
    </w:pPr>
    <w:rPr>
      <w:rFonts w:eastAsia="仿宋_GB2312"/>
      <w:kern w:val="2"/>
      <w:sz w:val="32"/>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2021-01-20T11:24:00Z</dcterms:created>
  <dc:creator>谢浩然</dc:creator>
  <dc:description/>
  <dc:language>en-US</dc:language>
  <cp:lastModifiedBy>谢浩然</cp:lastModifiedBy>
  <dcterms:modified xsi:type="dcterms:W3CDTF">2021-01-20T11:24:47Z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