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pacing w:lineRule="exact" w:line="590"/>
        <w:ind w:endChars="0" w:end="0"/>
        <w:jc w:val="both"/>
        <w:textAlignment w:val="auto"/>
        <w:rPr>
          <w:rFonts w:ascii="宋体" w:hAnsi="宋体" w:eastAsia="仿宋_GB2312" w:cs="宋体" w:hint="eastAsia"/>
          <w:sz w:val="32"/>
          <w:szCs w:val="32"/>
          <w:highlight w:val="none"/>
        </w:rPr>
      </w:pPr>
      <w:r>
        <w:rPr>
          <w:rFonts w:eastAsia="仿宋_GB2312" w:cs="宋体" w:hint="eastAsia" w:ascii="宋体" w:hAnsi="宋体"/>
          <w:sz w:val="32"/>
          <w:szCs w:val="32"/>
        </w:rPr>
      </w:r>
    </w:p>
    <w:p>
      <w:pPr>
        <w:pStyle w:val="Normal"/>
        <w:snapToGrid w:val="false"/>
        <w:spacing w:lineRule="exact" w:line="590"/>
        <w:ind w:end="0"/>
        <w:jc w:val="center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ascii="宋体" w:hAnsi="宋体" w:cs="宋体" w:hint="eastAsia" w:eastAsia="宋体"/>
          <w:b w:val="false"/>
          <w:bCs/>
          <w:spacing w:val="-17"/>
          <w:sz w:val="44"/>
          <w:szCs w:val="44"/>
        </w:rPr>
        <w:t>湛江市历史建筑保护条例</w:t>
      </w:r>
    </w:p>
    <w:p>
      <w:pPr>
        <w:pStyle w:val="Normal"/>
        <w:spacing w:lineRule="exact" w:line="590"/>
        <w:ind w:firstLineChars="0" w:firstLine="0" w:startChars="0" w:start="0" w:endChars="200"/>
        <w:rPr>
          <w:rFonts w:ascii="宋体" w:hAnsi="宋体" w:eastAsia="楷体_GB2312" w:cs="楷体_GB2312" w:hint="eastAsia"/>
          <w:b w:val="false"/>
          <w:bCs/>
          <w:spacing w:val="-17"/>
          <w:sz w:val="30"/>
          <w:szCs w:val="30"/>
          <w:highlight w:val="none"/>
        </w:rPr>
      </w:pPr>
      <w:r>
        <w:rPr>
          <w:rFonts w:eastAsia="楷体_GB2312" w:cs="楷体_GB2312" w:hint="eastAsia" w:ascii="宋体" w:hAnsi="宋体"/>
          <w:b w:val="false"/>
          <w:bCs/>
          <w:spacing w:val="-17"/>
          <w:sz w:val="30"/>
          <w:szCs w:val="30"/>
        </w:rPr>
      </w:r>
    </w:p>
    <w:p>
      <w:pPr>
        <w:pStyle w:val="Normal"/>
        <w:spacing w:lineRule="exact" w:line="600"/>
        <w:ind w:firstLineChars="200" w:startChars="0" w:start="0" w:endChars="0" w:end="0"/>
        <w:jc w:val="both"/>
        <w:rPr>
          <w:rFonts w:ascii="楷体_GB2312" w:hAnsi="楷体_GB2312" w:eastAsia="楷体_GB2312" w:cs="Times New Roman"/>
          <w:color w:val="000000"/>
          <w:sz w:val="32"/>
          <w:szCs w:val="32"/>
        </w:rPr>
      </w:pPr>
      <w:r>
        <w:rPr>
          <w:rFonts w:ascii="Times New Roman" w:hAnsi="Times New Roman" w:cs="Times New Roman" w:eastAsia="楷体_GB2312"/>
          <w:color w:val="000000"/>
          <w:sz w:val="32"/>
          <w:szCs w:val="32"/>
        </w:rPr>
        <w:t>（</w:t>
      </w:r>
      <w:r>
        <w:rPr>
          <w:rFonts w:eastAsia="宋体" w:cs="宋体" w:hint="eastAsia" w:ascii="宋体" w:hAnsi="宋体"/>
          <w:color w:val="000000"/>
          <w:sz w:val="32"/>
          <w:szCs w:val="32"/>
        </w:rPr>
        <w:t>2017</w:t>
      </w:r>
      <w:r>
        <w:rPr>
          <w:rFonts w:ascii="Times New Roman" w:hAnsi="Times New Roman" w:cs="Times New Roman" w:eastAsia="楷体_GB2312"/>
          <w:color w:val="000000"/>
          <w:sz w:val="32"/>
          <w:szCs w:val="32"/>
        </w:rPr>
        <w:t>年</w:t>
      </w:r>
      <w:r>
        <w:rPr>
          <w:rFonts w:eastAsia="宋体" w:cs="宋体" w:hint="eastAsia" w:ascii="宋体" w:hAnsi="宋体"/>
          <w:color w:val="000000"/>
          <w:sz w:val="32"/>
          <w:szCs w:val="32"/>
        </w:rPr>
        <w:t>12</w:t>
      </w:r>
      <w:r>
        <w:rPr>
          <w:rFonts w:ascii="Times New Roman" w:hAnsi="Times New Roman" w:cs="Times New Roman" w:eastAsia="楷体_GB2312"/>
          <w:color w:val="000000"/>
          <w:sz w:val="32"/>
          <w:szCs w:val="32"/>
        </w:rPr>
        <w:t>月</w:t>
      </w:r>
      <w:r>
        <w:rPr>
          <w:rFonts w:eastAsia="宋体" w:cs="宋体" w:hint="eastAsia" w:ascii="宋体" w:hAnsi="宋体"/>
          <w:color w:val="000000"/>
          <w:sz w:val="32"/>
          <w:szCs w:val="32"/>
        </w:rPr>
        <w:t>28</w:t>
      </w:r>
      <w:r>
        <w:rPr>
          <w:rFonts w:ascii="Times New Roman" w:hAnsi="Times New Roman" w:cs="Times New Roman" w:eastAsia="楷体_GB2312"/>
          <w:color w:val="000000"/>
          <w:sz w:val="32"/>
          <w:szCs w:val="32"/>
        </w:rPr>
        <w:t xml:space="preserve">日湛江市第十四届人民代表大会常务委员会第十一次会议通过  </w:t>
      </w:r>
      <w:r>
        <w:rPr>
          <w:rFonts w:eastAsia="宋体" w:cs="宋体" w:hint="eastAsia" w:ascii="宋体" w:hAnsi="宋体"/>
          <w:color w:val="000000"/>
          <w:sz w:val="32"/>
          <w:szCs w:val="32"/>
        </w:rPr>
        <w:t>2018</w:t>
      </w:r>
      <w:r>
        <w:rPr>
          <w:rFonts w:ascii="Times New Roman" w:hAnsi="Times New Roman" w:cs="Times New Roman" w:eastAsia="楷体_GB2312"/>
          <w:color w:val="000000"/>
          <w:sz w:val="32"/>
          <w:szCs w:val="32"/>
        </w:rPr>
        <w:t>年</w:t>
      </w:r>
      <w:r>
        <w:rPr>
          <w:rFonts w:eastAsia="宋体" w:cs="宋体" w:hint="eastAsia" w:ascii="宋体" w:hAnsi="宋体"/>
          <w:color w:val="000000"/>
          <w:sz w:val="32"/>
          <w:szCs w:val="32"/>
        </w:rPr>
        <w:t>3</w:t>
      </w:r>
      <w:r>
        <w:rPr>
          <w:rFonts w:ascii="Times New Roman" w:hAnsi="Times New Roman" w:cs="Times New Roman" w:eastAsia="楷体_GB2312"/>
          <w:color w:val="000000"/>
          <w:sz w:val="32"/>
          <w:szCs w:val="32"/>
        </w:rPr>
        <w:t>月</w:t>
      </w:r>
      <w:r>
        <w:rPr>
          <w:rFonts w:eastAsia="宋体" w:cs="宋体" w:hint="eastAsia" w:ascii="宋体" w:hAnsi="宋体"/>
          <w:color w:val="000000"/>
          <w:sz w:val="32"/>
          <w:szCs w:val="32"/>
        </w:rPr>
        <w:t>30</w:t>
      </w:r>
      <w:r>
        <w:rPr>
          <w:rFonts w:ascii="Times New Roman" w:hAnsi="Times New Roman" w:cs="Times New Roman" w:eastAsia="楷体_GB2312"/>
          <w:color w:val="000000"/>
          <w:sz w:val="32"/>
          <w:szCs w:val="32"/>
        </w:rPr>
        <w:t>日</w:t>
      </w:r>
      <w:r>
        <w:rPr>
          <w:rFonts w:ascii="Times New Roman" w:hAnsi="Times New Roman" w:cs="Times New Roman" w:eastAsia="楷体_GB2312"/>
          <w:sz w:val="32"/>
          <w:szCs w:val="32"/>
        </w:rPr>
        <w:t>广东省第十三届人民代表大会常务委员会第二次会议批准  根据</w:t>
      </w:r>
      <w:r>
        <w:rPr>
          <w:rFonts w:eastAsia="宋体" w:cs="宋体" w:hint="eastAsia" w:ascii="宋体" w:hAnsi="宋体"/>
          <w:sz w:val="32"/>
          <w:szCs w:val="32"/>
        </w:rPr>
        <w:t>2021</w:t>
      </w:r>
      <w:r>
        <w:rPr>
          <w:rFonts w:ascii="Times New Roman" w:hAnsi="Times New Roman" w:cs="Times New Roman" w:eastAsia="楷体_GB2312"/>
          <w:sz w:val="32"/>
          <w:szCs w:val="32"/>
        </w:rPr>
        <w:t>年</w:t>
      </w:r>
      <w:r>
        <w:rPr>
          <w:rFonts w:eastAsia="宋体" w:cs="宋体" w:hint="eastAsia" w:ascii="宋体" w:hAnsi="宋体"/>
          <w:sz w:val="32"/>
          <w:szCs w:val="32"/>
        </w:rPr>
        <w:t>8</w:t>
      </w:r>
      <w:r>
        <w:rPr>
          <w:rFonts w:ascii="Times New Roman" w:hAnsi="Times New Roman" w:cs="Times New Roman" w:eastAsia="楷体_GB2312"/>
          <w:sz w:val="32"/>
          <w:szCs w:val="32"/>
        </w:rPr>
        <w:t>月</w:t>
      </w:r>
      <w:r>
        <w:rPr>
          <w:rFonts w:eastAsia="宋体" w:cs="宋体" w:hint="eastAsia" w:ascii="宋体" w:hAnsi="宋体"/>
          <w:sz w:val="32"/>
          <w:szCs w:val="32"/>
        </w:rPr>
        <w:t>27</w:t>
      </w:r>
      <w:r>
        <w:rPr>
          <w:rFonts w:ascii="Times New Roman" w:hAnsi="Times New Roman" w:cs="Times New Roman" w:eastAsia="楷体_GB2312"/>
          <w:sz w:val="32"/>
          <w:szCs w:val="32"/>
        </w:rPr>
        <w:t>日湛江市第十四届人民代表大会常务委员会第五十次会议通过并经</w:t>
      </w:r>
      <w:r>
        <w:rPr>
          <w:rFonts w:eastAsia="宋体" w:cs="宋体" w:hint="eastAsia" w:ascii="宋体" w:hAnsi="宋体"/>
          <w:sz w:val="32"/>
          <w:szCs w:val="32"/>
        </w:rPr>
        <w:t>2021</w:t>
      </w:r>
      <w:r>
        <w:rPr>
          <w:rFonts w:ascii="Times New Roman" w:hAnsi="Times New Roman" w:cs="Times New Roman" w:eastAsia="楷体_GB2312"/>
          <w:sz w:val="32"/>
          <w:szCs w:val="32"/>
        </w:rPr>
        <w:t>年</w:t>
      </w:r>
      <w:r>
        <w:rPr>
          <w:rFonts w:eastAsia="宋体" w:cs="宋体" w:hint="eastAsia" w:ascii="宋体" w:hAnsi="宋体"/>
          <w:sz w:val="32"/>
          <w:szCs w:val="32"/>
        </w:rPr>
        <w:t>9</w:t>
      </w:r>
      <w:r>
        <w:rPr>
          <w:rFonts w:ascii="Times New Roman" w:hAnsi="Times New Roman" w:cs="Times New Roman" w:eastAsia="楷体_GB2312"/>
          <w:sz w:val="32"/>
          <w:szCs w:val="32"/>
        </w:rPr>
        <w:t>月</w:t>
      </w:r>
      <w:r>
        <w:rPr>
          <w:rFonts w:eastAsia="宋体" w:cs="宋体" w:hint="eastAsia" w:ascii="宋体" w:hAnsi="宋体"/>
          <w:sz w:val="32"/>
          <w:szCs w:val="32"/>
        </w:rPr>
        <w:t>29</w:t>
      </w:r>
      <w:r>
        <w:rPr>
          <w:rFonts w:ascii="Times New Roman" w:hAnsi="Times New Roman" w:cs="Times New Roman" w:eastAsia="楷体_GB2312"/>
          <w:sz w:val="32"/>
          <w:szCs w:val="32"/>
        </w:rPr>
        <w:t>日广东省第十三届人民代表大会常务委员会第三十五次会议批准的</w:t>
      </w:r>
      <w:r>
        <w:rPr>
          <w:rFonts w:ascii="Times New Roman" w:hAnsi="Times New Roman" w:cs="Times New Roman" w:eastAsia="楷体_GB2312"/>
          <w:sz w:val="32"/>
        </w:rPr>
        <w:t>《</w:t>
      </w:r>
      <w:r>
        <w:rPr>
          <w:rFonts w:ascii="Times New Roman" w:hAnsi="Times New Roman" w:cs="Times New Roman" w:eastAsia="楷体_GB2312"/>
          <w:sz w:val="32"/>
          <w:szCs w:val="32"/>
        </w:rPr>
        <w:t>关于修改〈湛江市历史建筑保护条例〉的决定》修正</w:t>
      </w:r>
      <w:r>
        <w:rPr>
          <w:rFonts w:ascii="Times New Roman" w:hAnsi="Times New Roman" w:cs="Times New Roman" w:eastAsia="楷体_GB2312"/>
          <w:color w:val="000000"/>
          <w:sz w:val="32"/>
          <w:szCs w:val="32"/>
        </w:rPr>
        <w:t>）</w:t>
      </w:r>
    </w:p>
    <w:p>
      <w:pPr>
        <w:pStyle w:val="Normal"/>
        <w:tabs>
          <w:tab w:val="clear" w:pos="420"/>
          <w:tab w:val="left" w:pos="8400" w:leader="none"/>
        </w:tabs>
        <w:spacing w:lineRule="exact" w:line="590"/>
        <w:jc w:val="center"/>
        <w:rPr>
          <w:rFonts w:ascii="宋体" w:hAnsi="宋体" w:eastAsia="楷体_GB2312" w:cs="方正小标宋简体" w:hint="eastAsia"/>
          <w:bCs/>
          <w:color w:val="000000"/>
          <w:sz w:val="32"/>
          <w:szCs w:val="32"/>
        </w:rPr>
      </w:pPr>
      <w:r>
        <w:rPr>
          <w:rFonts w:eastAsia="楷体_GB2312" w:cs="方正小标宋简体" w:hint="eastAsia" w:ascii="宋体" w:hAnsi="宋体"/>
          <w:bCs/>
          <w:color w:val="000000"/>
          <w:sz w:val="32"/>
          <w:szCs w:val="32"/>
        </w:rPr>
      </w:r>
    </w:p>
    <w:p>
      <w:pPr>
        <w:pStyle w:val="Normal"/>
        <w:spacing w:lineRule="exact" w:line="590"/>
        <w:jc w:val="center"/>
        <w:rPr>
          <w:rFonts w:ascii="楷体_GB2312" w:hAnsi="楷体_GB2312" w:eastAsia="楷体_GB2312" w:cs="楷体_GB2312"/>
          <w:color w:val="000000"/>
          <w:sz w:val="32"/>
          <w:szCs w:val="32"/>
        </w:rPr>
      </w:pP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目    录</w:t>
      </w:r>
    </w:p>
    <w:p>
      <w:pPr>
        <w:pStyle w:val="Normal"/>
        <w:tabs>
          <w:tab w:val="clear" w:pos="420"/>
          <w:tab w:val="left" w:pos="8400" w:leader="none"/>
        </w:tabs>
        <w:spacing w:lineRule="exact" w:line="590"/>
        <w:jc w:val="center"/>
        <w:rPr>
          <w:rFonts w:ascii="宋体" w:hAnsi="宋体" w:eastAsia="楷体_GB2312" w:cs="方正小标宋简体"/>
          <w:bCs/>
          <w:color w:val="000000"/>
          <w:sz w:val="32"/>
          <w:szCs w:val="32"/>
        </w:rPr>
      </w:pPr>
      <w:r>
        <w:rPr>
          <w:rFonts w:eastAsia="楷体_GB2312" w:cs="方正小标宋简体" w:ascii="宋体" w:hAnsi="宋体"/>
          <w:bCs/>
          <w:color w:val="000000"/>
          <w:sz w:val="32"/>
          <w:szCs w:val="32"/>
        </w:rPr>
      </w:r>
    </w:p>
    <w:p>
      <w:pPr>
        <w:pStyle w:val="Normal"/>
        <w:spacing w:lineRule="exact" w:line="590"/>
        <w:ind w:firstLineChars="200" w:startChars="0" w:start="0" w:endChars="0" w:end="0"/>
        <w:rPr>
          <w:rFonts w:ascii="楷体_GB2312" w:hAnsi="楷体_GB2312" w:eastAsia="楷体_GB2312" w:cs="楷体_GB2312"/>
          <w:color w:val="000000"/>
          <w:sz w:val="32"/>
          <w:szCs w:val="32"/>
        </w:rPr>
      </w:pP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第一章</w:t>
      </w:r>
      <w:r>
        <w:rPr>
          <w:rFonts w:ascii="宋体" w:hAnsi="宋体" w:cs="楷体_GB2312" w:hint="eastAsia"/>
          <w:color w:val="000000"/>
          <w:sz w:val="32"/>
          <w:szCs w:val="32"/>
        </w:rPr>
        <w:t xml:space="preserve">  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总    则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第二章</w:t>
      </w:r>
      <w:r>
        <w:rPr>
          <w:rFonts w:ascii="宋体" w:hAnsi="宋体" w:cs="楷体_GB2312" w:hint="eastAsia"/>
          <w:color w:val="000000"/>
          <w:sz w:val="32"/>
          <w:szCs w:val="32"/>
        </w:rPr>
        <w:t xml:space="preserve">  </w:t>
      </w:r>
      <w:r>
        <w:rPr>
          <w:rFonts w:ascii="楷体_GB2312" w:hAnsi="楷体_GB2312" w:cs="楷体_GB2312" w:hint="eastAsia" w:eastAsia="楷体_GB2312"/>
          <w:sz w:val="32"/>
          <w:szCs w:val="32"/>
        </w:rPr>
        <w:t>历史建筑的确定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楷体_GB2312" w:hAnsi="楷体_GB2312" w:eastAsia="楷体_GB2312" w:cs="楷体_GB2312"/>
          <w:color w:val="000000"/>
          <w:sz w:val="32"/>
          <w:szCs w:val="32"/>
        </w:rPr>
      </w:pP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第三章</w:t>
      </w:r>
      <w:r>
        <w:rPr>
          <w:rFonts w:ascii="宋体" w:hAnsi="宋体" w:cs="楷体_GB2312" w:hint="eastAsia"/>
          <w:color w:val="000000"/>
          <w:sz w:val="32"/>
          <w:szCs w:val="32"/>
        </w:rPr>
        <w:t xml:space="preserve">  </w:t>
      </w:r>
      <w:r>
        <w:rPr>
          <w:rFonts w:ascii="楷体_GB2312" w:hAnsi="楷体_GB2312" w:cs="楷体_GB2312" w:hint="eastAsia" w:eastAsia="楷体_GB2312"/>
          <w:sz w:val="32"/>
          <w:szCs w:val="32"/>
        </w:rPr>
        <w:t>保护与利用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第四章</w:t>
      </w:r>
      <w:r>
        <w:rPr>
          <w:rFonts w:ascii="宋体" w:hAnsi="宋体" w:cs="楷体_GB2312" w:hint="eastAsia"/>
          <w:color w:val="000000"/>
          <w:sz w:val="32"/>
          <w:szCs w:val="32"/>
        </w:rPr>
        <w:t xml:space="preserve">  </w:t>
      </w:r>
      <w:r>
        <w:rPr>
          <w:rFonts w:ascii="楷体_GB2312" w:hAnsi="楷体_GB2312" w:cs="楷体_GB2312" w:hint="eastAsia" w:eastAsia="楷体_GB2312"/>
          <w:sz w:val="32"/>
          <w:szCs w:val="32"/>
        </w:rPr>
        <w:t>法律责任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楷体_GB2312" w:hAnsi="楷体_GB2312" w:eastAsia="楷体_GB2312" w:cs="楷体_GB2312"/>
          <w:color w:val="000000"/>
          <w:sz w:val="32"/>
          <w:szCs w:val="32"/>
        </w:rPr>
      </w:pP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第五章</w:t>
      </w:r>
      <w:r>
        <w:rPr>
          <w:rFonts w:ascii="宋体" w:hAnsi="宋体" w:cs="楷体_GB2312" w:hint="eastAsia"/>
          <w:color w:val="000000"/>
          <w:sz w:val="32"/>
          <w:szCs w:val="32"/>
        </w:rPr>
        <w:t xml:space="preserve">  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附    则</w:t>
      </w:r>
    </w:p>
    <w:p>
      <w:pPr>
        <w:pStyle w:val="Normal"/>
        <w:tabs>
          <w:tab w:val="clear" w:pos="420"/>
          <w:tab w:val="left" w:pos="8400" w:leader="none"/>
        </w:tabs>
        <w:spacing w:lineRule="exact" w:line="590"/>
        <w:jc w:val="center"/>
        <w:rPr>
          <w:rFonts w:ascii="宋体" w:hAnsi="宋体" w:eastAsia="楷体_GB2312" w:cs="方正小标宋简体"/>
          <w:bCs/>
          <w:color w:val="000000"/>
          <w:sz w:val="32"/>
          <w:szCs w:val="32"/>
        </w:rPr>
      </w:pPr>
      <w:r>
        <w:rPr>
          <w:rFonts w:eastAsia="楷体_GB2312" w:cs="方正小标宋简体" w:ascii="宋体" w:hAnsi="宋体"/>
          <w:bCs/>
          <w:color w:val="000000"/>
          <w:sz w:val="32"/>
          <w:szCs w:val="32"/>
        </w:rPr>
      </w:r>
    </w:p>
    <w:p>
      <w:pPr>
        <w:pStyle w:val="Normal"/>
        <w:widowControl/>
        <w:tabs>
          <w:tab w:val="clear" w:pos="420"/>
          <w:tab w:val="left" w:pos="3160" w:leader="none"/>
        </w:tabs>
        <w:spacing w:lineRule="exact" w:line="590"/>
        <w:jc w:val="center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第一章  总  则</w:t>
      </w:r>
    </w:p>
    <w:p>
      <w:pPr>
        <w:pStyle w:val="Normal"/>
        <w:tabs>
          <w:tab w:val="clear" w:pos="420"/>
          <w:tab w:val="left" w:pos="8400" w:leader="none"/>
        </w:tabs>
        <w:spacing w:lineRule="exact" w:line="590"/>
        <w:jc w:val="center"/>
        <w:rPr>
          <w:rFonts w:ascii="宋体" w:hAnsi="宋体" w:eastAsia="仿宋_GB2312" w:cs="方正小标宋简体"/>
          <w:bCs/>
          <w:sz w:val="32"/>
          <w:szCs w:val="32"/>
        </w:rPr>
      </w:pPr>
      <w:r>
        <w:rPr>
          <w:rFonts w:eastAsia="仿宋_GB2312" w:cs="方正小标宋简体" w:ascii="宋体" w:hAnsi="宋体"/>
          <w:bCs/>
          <w:sz w:val="32"/>
          <w:szCs w:val="32"/>
        </w:rPr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第一条</w:t>
      </w:r>
      <w:r>
        <w:rPr>
          <w:rFonts w:ascii="仿宋_GB2312" w:hAnsi="仿宋_GB2312" w:cs="仿宋_GB2312" w:hint="eastAsia"/>
          <w:sz w:val="32"/>
          <w:szCs w:val="32"/>
        </w:rPr>
        <w:t xml:space="preserve">  为了加强本市历史建筑的保护，根据《中华人民共和国城乡规划法》《历史文化名城名镇名村保护条例》等法律、法规的规定，结合本市实际，制定本条例。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第二条</w:t>
      </w:r>
      <w:r>
        <w:rPr>
          <w:rFonts w:ascii="仿宋_GB2312" w:hAnsi="仿宋_GB2312" w:cs="仿宋_GB2312" w:hint="eastAsia"/>
          <w:sz w:val="32"/>
          <w:szCs w:val="32"/>
        </w:rPr>
        <w:t xml:space="preserve">  本条例适用于本市行政区域内历史建筑的保护、利用和管理。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第三条</w:t>
      </w:r>
      <w:r>
        <w:rPr>
          <w:rFonts w:ascii="仿宋_GB2312" w:hAnsi="仿宋_GB2312" w:cs="仿宋_GB2312" w:hint="eastAsia"/>
          <w:sz w:val="32"/>
          <w:szCs w:val="32"/>
        </w:rPr>
        <w:t xml:space="preserve">  市、县（市、区）人民政府负责本行政区域内历史建筑的保护和监督管理工作，将历史建筑保护纳入国民经济和社会发展规划以及国土空间规划，保护经费列入本级财政预算。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镇（乡）人民政府、街道办事处负责本辖区内历史建筑的日常保护工作。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村民委员会、居民委员会协助政府和有关部门做好历史建筑的保护工作。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kern w:val="0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第四条</w:t>
      </w:r>
      <w:r>
        <w:rPr>
          <w:rFonts w:ascii="仿宋_GB2312" w:hAnsi="仿宋_GB2312" w:cs="黑体" w:hint="eastAsia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自然资源主管部门负责历史建筑的普查调查、申报、名录管理、编制保护规划等工作。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kern w:val="0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住房城乡建设主管部门</w:t>
      </w:r>
      <w:r>
        <w:rPr>
          <w:rFonts w:ascii="仿宋_GB2312" w:hAnsi="仿宋_GB2312" w:cs="仿宋_GB2312" w:hint="eastAsia"/>
          <w:kern w:val="0"/>
          <w:sz w:val="32"/>
          <w:szCs w:val="32"/>
        </w:rPr>
        <w:t>负责历史建筑的结构安全、维护修缮等相关建设活动的监督管理工作。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kern w:val="0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文化旅游主管部门</w:t>
      </w:r>
      <w:r>
        <w:rPr>
          <w:rFonts w:ascii="仿宋_GB2312" w:hAnsi="仿宋_GB2312" w:cs="仿宋_GB2312" w:hint="eastAsia"/>
          <w:kern w:val="0"/>
          <w:sz w:val="32"/>
          <w:szCs w:val="32"/>
        </w:rPr>
        <w:t>负责整理历史建筑的历史资料信息，挖掘、评价其历史价值等工作。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32"/>
          <w:szCs w:val="32"/>
        </w:rPr>
        <w:t>城市管理综合执法、财政、发展改革、市场监督管理等主管部门和公安机关、消防救援机构</w:t>
      </w:r>
      <w:r>
        <w:rPr>
          <w:rFonts w:ascii="仿宋_GB2312" w:hAnsi="仿宋_GB2312" w:cs="仿宋_GB2312" w:hint="eastAsia"/>
          <w:kern w:val="0"/>
          <w:sz w:val="32"/>
          <w:szCs w:val="32"/>
        </w:rPr>
        <w:t>按照各自职责，做好历史建筑保护的相关工作。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第五条</w:t>
      </w:r>
      <w:r>
        <w:rPr>
          <w:rFonts w:ascii="仿宋_GB2312" w:hAnsi="仿宋_GB2312" w:cs="仿宋_GB2312" w:hint="eastAsia"/>
          <w:sz w:val="32"/>
          <w:szCs w:val="32"/>
        </w:rPr>
        <w:t xml:space="preserve">  市、县（市）人民政府设立历史建筑保护专家委员会，由规划、建筑、文化、历史、土地、社会、经济和法律等领域专家组成，</w:t>
      </w:r>
      <w:r>
        <w:rPr>
          <w:rFonts w:ascii="仿宋_GB2312" w:hAnsi="仿宋_GB2312" w:cs="仿宋_GB2312" w:hint="eastAsia"/>
          <w:kern w:val="0"/>
          <w:sz w:val="32"/>
          <w:szCs w:val="32"/>
        </w:rPr>
        <w:t>负责历史建筑保护的咨询、审议和评定等工作</w:t>
      </w:r>
      <w:r>
        <w:rPr>
          <w:rFonts w:ascii="仿宋_GB2312" w:hAnsi="仿宋_GB2312" w:cs="仿宋_GB2312" w:hint="eastAsia"/>
          <w:sz w:val="32"/>
          <w:szCs w:val="32"/>
        </w:rPr>
        <w:t>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专家委员会组成办法和工作规则，由市、县（市）人民政府制定。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>第六条</w:t>
      </w:r>
      <w:r>
        <w:rPr>
          <w:rFonts w:ascii="仿宋_GB2312" w:hAnsi="仿宋_GB2312" w:cs="仿宋_GB2312" w:hint="eastAsia"/>
          <w:sz w:val="32"/>
          <w:szCs w:val="32"/>
        </w:rPr>
        <w:t xml:space="preserve">  市、县（市、区）人民政府设立历史建筑保护专项资金，专项资金的来源包括：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（一）上级财政专项补助的资金；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（二）本级财政预算安排的资金；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（三）社会捐赠的资金；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（四）其他依法筹集的资金。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专项资金由市、县（市、区）人民政府分别设立专门账户，专款专用，并接受财政、审计部门的监督。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>第七条</w:t>
      </w:r>
      <w:r>
        <w:rPr>
          <w:rFonts w:ascii="仿宋_GB2312" w:hAnsi="仿宋_GB2312" w:cs="黑体" w:hint="eastAsia"/>
          <w:kern w:val="0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sz w:val="32"/>
          <w:szCs w:val="32"/>
        </w:rPr>
        <w:t>市、县（市、区）人民政府及其有关部门</w:t>
      </w:r>
      <w:r>
        <w:rPr>
          <w:rFonts w:ascii="仿宋_GB2312" w:hAnsi="仿宋_GB2312" w:cs="仿宋_GB2312" w:hint="eastAsia"/>
          <w:kern w:val="0"/>
          <w:sz w:val="32"/>
          <w:szCs w:val="32"/>
        </w:rPr>
        <w:t>应当加强历史建筑保护的研究、宣传工作，提高社会保护历史建筑的意识，</w:t>
      </w:r>
      <w:r>
        <w:rPr>
          <w:rFonts w:ascii="仿宋_GB2312" w:hAnsi="仿宋_GB2312" w:cs="仿宋_GB2312" w:hint="eastAsia"/>
          <w:sz w:val="32"/>
          <w:szCs w:val="32"/>
        </w:rPr>
        <w:t>对在历史建筑保护工作中作出突出贡献的单位和个人给予表彰、奖励。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</w:r>
    </w:p>
    <w:p>
      <w:pPr>
        <w:pStyle w:val="Normal"/>
        <w:widowControl/>
        <w:spacing w:lineRule="exact" w:line="590"/>
        <w:jc w:val="center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第二章  历史建筑的确定</w:t>
      </w:r>
    </w:p>
    <w:p>
      <w:pPr>
        <w:pStyle w:val="Normal"/>
        <w:widowControl/>
        <w:spacing w:lineRule="exact" w:line="59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第八条</w:t>
      </w:r>
      <w:r>
        <w:rPr>
          <w:rFonts w:ascii="仿宋_GB2312" w:hAnsi="仿宋_GB2312" w:cs="仿宋_GB2312" w:hint="eastAsia"/>
          <w:sz w:val="32"/>
          <w:szCs w:val="32"/>
        </w:rPr>
        <w:t xml:space="preserve">  建成六十年以上，且未公布为文物保护单位，也未登记为不可移动文物的建筑物、构筑物，具备下列条件之一的，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</w:rPr>
        <w:t>市、县（市）人民政府可以</w:t>
      </w:r>
      <w:r>
        <w:rPr>
          <w:rFonts w:ascii="仿宋_GB2312" w:hAnsi="仿宋_GB2312" w:cs="仿宋_GB2312" w:hint="eastAsia"/>
          <w:sz w:val="32"/>
          <w:szCs w:val="32"/>
        </w:rPr>
        <w:t>确定公布为历史建筑：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（一）突出反映本地不同历史时期社会生产、生活历史；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（二）突出反映本地建筑历史文化特点；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（三）建筑样式、施工工艺和工程技术具有建筑艺术特色和科学研究价值；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（四）本地重大政治、经济、文化等历史事件的实物载体； 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（五）本地代表性、标志性建筑或者著名设计师的主要代表作品；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（六）本地重要名人故居或者纪念性建筑。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建成三十年以上不满六十年，但符合前款规定条件之一，并具有特殊历史、文化、纪念或者教育意义的建筑物、构筑物，也可以确定为历史建筑。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color w:val="000000"/>
          <w:kern w:val="0"/>
          <w:sz w:val="32"/>
          <w:szCs w:val="32"/>
        </w:rPr>
        <w:t>在确定为历史建筑之前，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</w:rPr>
        <w:t>应当会同同级</w:t>
      </w:r>
      <w:r>
        <w:rPr>
          <w:rFonts w:ascii="仿宋_GB2312" w:hAnsi="仿宋_GB2312" w:cs="仿宋_GB2312" w:hint="eastAsia"/>
          <w:sz w:val="32"/>
          <w:szCs w:val="32"/>
        </w:rPr>
        <w:t>文化旅游主管部门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</w:rPr>
        <w:t>征求建筑物、构筑物所有权人、其他利害关系人和公众的意见，并组织专家委员会评审。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第九条</w:t>
      </w:r>
      <w:r>
        <w:rPr>
          <w:rFonts w:ascii="仿宋_GB2312" w:hAnsi="仿宋_GB2312" w:cs="黑体" w:hint="eastAsia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z w:val="32"/>
          <w:szCs w:val="32"/>
        </w:rPr>
        <w:t>应当开展建筑物、构筑物的现状普查调查，加强历史建筑的申报工作。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32"/>
          <w:szCs w:val="32"/>
        </w:rPr>
        <w:t>建筑物、构筑物所有权人、使用人以及其他单位和个人，可以向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</w:t>
      </w:r>
      <w:r>
        <w:rPr>
          <w:rFonts w:ascii="仿宋_GB2312" w:hAnsi="仿宋_GB2312" w:cs="仿宋_GB2312" w:hint="eastAsia"/>
          <w:sz w:val="32"/>
          <w:szCs w:val="32"/>
        </w:rPr>
        <w:t>、文化旅游</w:t>
      </w:r>
      <w:r>
        <w:rPr>
          <w:rFonts w:ascii="仿宋_GB2312" w:hAnsi="仿宋_GB2312" w:cs="仿宋_GB2312" w:hint="eastAsia"/>
          <w:kern w:val="0"/>
          <w:sz w:val="32"/>
          <w:szCs w:val="32"/>
        </w:rPr>
        <w:t>主管</w:t>
      </w:r>
      <w:r>
        <w:rPr>
          <w:rFonts w:ascii="仿宋_GB2312" w:hAnsi="仿宋_GB2312" w:cs="仿宋_GB2312" w:hint="eastAsia"/>
          <w:sz w:val="32"/>
          <w:szCs w:val="32"/>
        </w:rPr>
        <w:t>部门推荐、申报历史建筑。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  <w:shd w:fill="D9D9D9" w:val="clear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>第十条</w:t>
      </w:r>
      <w:r>
        <w:rPr>
          <w:rFonts w:ascii="仿宋_GB2312" w:hAnsi="仿宋_GB2312" w:cs="仿宋_GB2312" w:hint="eastAsia"/>
          <w:sz w:val="32"/>
          <w:szCs w:val="32"/>
        </w:rPr>
        <w:t xml:space="preserve">  市、县（市）人民政府应当将确定的历史建筑纳入历史建筑保护名录，报省人民政府核定后向社会公布。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保护名录应当载明历史建筑的名称、区位、建成时间和历史价值等内容，并附有明确的地理坐标及相应的界址地形图。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第十一条</w:t>
      </w:r>
      <w:r>
        <w:rPr>
          <w:rFonts w:ascii="仿宋_GB2312" w:hAnsi="仿宋_GB2312" w:cs="仿宋_GB2312" w:hint="eastAsia"/>
          <w:sz w:val="32"/>
          <w:szCs w:val="32"/>
        </w:rPr>
        <w:t xml:space="preserve">  市、县（市）人民政府应当按照规定设置历史建筑保护标志。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任何单位和个人不得擅自设置、移动、涂改或者损毁历史建筑保护标志。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第十二条</w:t>
      </w:r>
      <w:r>
        <w:rPr>
          <w:rFonts w:ascii="仿宋_GB2312" w:hAnsi="仿宋_GB2312" w:cs="仿宋_GB2312" w:hint="eastAsia"/>
          <w:sz w:val="32"/>
          <w:szCs w:val="32"/>
        </w:rPr>
        <w:t xml:space="preserve">  依法确定的历史建筑保护名录不得擅自调整或者撤销。因不可抗力导致历史建筑灭失、损毁，或者因法定事由需要对保护名录进行调整的，由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z w:val="32"/>
          <w:szCs w:val="32"/>
        </w:rPr>
        <w:t>会同同级文化旅游</w:t>
      </w:r>
      <w:r>
        <w:rPr>
          <w:rFonts w:ascii="仿宋_GB2312" w:hAnsi="仿宋_GB2312" w:cs="仿宋_GB2312" w:hint="eastAsia"/>
          <w:kern w:val="0"/>
          <w:sz w:val="32"/>
          <w:szCs w:val="32"/>
        </w:rPr>
        <w:t>主管</w:t>
      </w:r>
      <w:r>
        <w:rPr>
          <w:rFonts w:ascii="仿宋_GB2312" w:hAnsi="仿宋_GB2312" w:cs="仿宋_GB2312" w:hint="eastAsia"/>
          <w:sz w:val="32"/>
          <w:szCs w:val="32"/>
        </w:rPr>
        <w:t xml:space="preserve">部门提出意见，经专家委员会评审、向社会公示等程序，报本级人民政府按照法定程序予以调整，并向社会公布。 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第十三条</w:t>
      </w:r>
      <w:r>
        <w:rPr>
          <w:rFonts w:ascii="仿宋_GB2312" w:hAnsi="仿宋_GB2312" w:cs="仿宋_GB2312" w:hint="eastAsia"/>
          <w:sz w:val="32"/>
          <w:szCs w:val="32"/>
        </w:rPr>
        <w:t xml:space="preserve">  市</w:t>
      </w:r>
      <w:r>
        <w:rPr>
          <w:rFonts w:ascii="仿宋_GB2312" w:hAnsi="仿宋_GB2312" w:cs="仿宋_GB2312" w:hint="eastAsia"/>
          <w:bCs/>
          <w:sz w:val="32"/>
          <w:szCs w:val="32"/>
        </w:rPr>
        <w:t>、</w:t>
      </w:r>
      <w:r>
        <w:rPr>
          <w:rFonts w:ascii="仿宋_GB2312" w:hAnsi="仿宋_GB2312" w:cs="仿宋_GB2312" w:hint="eastAsia"/>
          <w:sz w:val="32"/>
          <w:szCs w:val="32"/>
        </w:rPr>
        <w:t>县（市）人民政府认为具有保护价值而尚未纳入历史建筑保护名录的建筑物、构筑物，可以确定为预先保护对象。预先保护期限自预先保护通知发出之日起不超过十二个月。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color w:val="FF0000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因预先保护对有关单位或者个人的合法权益造成损失的，当地人民政府应当给予补偿。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b/>
          <w:color w:val="FF0000"/>
          <w:sz w:val="32"/>
          <w:szCs w:val="32"/>
        </w:rPr>
      </w:pPr>
      <w:r>
        <w:rPr>
          <w:rFonts w:eastAsia="仿宋_GB2312" w:cs="仿宋_GB2312" w:ascii="仿宋_GB2312" w:hAnsi="仿宋_GB2312"/>
          <w:b/>
          <w:color w:val="FF0000"/>
          <w:sz w:val="32"/>
          <w:szCs w:val="32"/>
        </w:rPr>
      </w:r>
    </w:p>
    <w:p>
      <w:pPr>
        <w:pStyle w:val="Normal"/>
        <w:widowControl/>
        <w:spacing w:lineRule="exact" w:line="590"/>
        <w:jc w:val="center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第三章 保护与利用</w:t>
      </w:r>
    </w:p>
    <w:p>
      <w:pPr>
        <w:pStyle w:val="Style15"/>
        <w:shd w:fill="FFFFFF" w:val="clear"/>
        <w:spacing w:lineRule="exact" w:line="590" w:before="0" w:after="0"/>
        <w:rPr>
          <w:rFonts w:ascii="仿宋_GB2312" w:hAnsi="仿宋_GB2312" w:eastAsia="仿宋_GB2312" w:cs="仿宋_GB2312"/>
          <w:color w:val="191919"/>
          <w:sz w:val="32"/>
          <w:szCs w:val="32"/>
        </w:rPr>
      </w:pPr>
      <w:r>
        <w:rPr>
          <w:rFonts w:eastAsia="仿宋_GB2312" w:cs="仿宋_GB2312" w:ascii="仿宋_GB2312" w:hAnsi="仿宋_GB2312"/>
          <w:color w:val="191919"/>
          <w:sz w:val="32"/>
          <w:szCs w:val="32"/>
        </w:rPr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第十四条</w:t>
      </w:r>
      <w:r>
        <w:rPr>
          <w:rFonts w:ascii="仿宋_GB2312" w:hAnsi="仿宋_GB2312" w:cs="黑体" w:hint="eastAsia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自然资源主管部门组织</w:t>
      </w:r>
      <w:r>
        <w:rPr>
          <w:rFonts w:ascii="仿宋_GB2312" w:hAnsi="仿宋_GB2312" w:cs="仿宋_GB2312" w:hint="eastAsia"/>
          <w:sz w:val="32"/>
          <w:szCs w:val="32"/>
        </w:rPr>
        <w:t>编制历史建筑保护规划，经征求专家委员会、所有权人、其他利害关系人和公众意见后，报本级人民政府审批。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历史建筑保护规划应当包括下列内容：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（一）历史建筑的位置、建筑类型、年代、风貌及历史价值等基本情况；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（二）历史建筑的核心保护范围和建设控制地带；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（三）历史建筑保护图则；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（四）历史建筑的合理利用和维护修缮指引；</w:t>
      </w:r>
    </w:p>
    <w:p>
      <w:pPr>
        <w:pStyle w:val="Normal"/>
        <w:widowControl/>
        <w:shd w:fill="FFFFFF" w:val="clear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（五）保护措施与建议；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楷体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32"/>
          <w:szCs w:val="32"/>
        </w:rPr>
        <w:t>（六）历史建筑保护规划要求的其他内容。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第十五条</w:t>
      </w:r>
      <w:r>
        <w:rPr>
          <w:rFonts w:ascii="仿宋_GB2312" w:hAnsi="仿宋_GB2312" w:cs="黑体" w:hint="eastAsia"/>
          <w:bCs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z w:val="32"/>
          <w:szCs w:val="32"/>
        </w:rPr>
        <w:t>应当建立历史建筑档案，并纳入历史文化保护信息管理和查询系统。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历史建筑档案应当包括下列内容：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（一）历史建筑的艺术特征、历史特征、建设年代及稀有程度；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（二）历史建筑的有关技术资料；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（三）历史建筑的使用现状和权属变化情况；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（四）历史建筑的修缮、装饰装修过程中形成的文字、图纸、图片、影像等资料；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（五）历史建筑的测绘信息记录和相关资料；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（六）历史建筑档案要求的其他内容。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pacing w:val="6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第十六条</w:t>
      </w:r>
      <w:r>
        <w:rPr>
          <w:rFonts w:ascii="仿宋_GB2312" w:hAnsi="仿宋_GB2312" w:cs="黑体" w:hint="eastAsia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在历史建筑核心保护范围内，不得进行与保护无关的建设活动。但新建、扩建必要的基础设施和公益性公共服务设施除外。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第十七条</w:t>
      </w:r>
      <w:r>
        <w:rPr>
          <w:rFonts w:ascii="仿宋_GB2312" w:hAnsi="仿宋_GB2312" w:cs="仿宋_GB2312" w:hint="eastAsia"/>
          <w:sz w:val="32"/>
          <w:szCs w:val="32"/>
        </w:rPr>
        <w:t xml:space="preserve">  在历史建筑的建设控制地带内进行新建、扩建、改建活动的，应当符合保护规划要求，并遵守下列规定：</w:t>
      </w:r>
    </w:p>
    <w:p>
      <w:pPr>
        <w:pStyle w:val="Normal"/>
        <w:spacing w:lineRule="exact" w:line="59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　　（一）在高度、体量、立面、色彩等方面与核心保护范围内的传统格局和历史风貌相协调；</w:t>
      </w:r>
    </w:p>
    <w:p>
      <w:pPr>
        <w:pStyle w:val="Normal"/>
        <w:spacing w:lineRule="exact" w:line="59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　　（二）不得破坏历史环境要素和景观特征；</w:t>
      </w:r>
    </w:p>
    <w:p>
      <w:pPr>
        <w:pStyle w:val="Normal"/>
        <w:spacing w:lineRule="exact" w:line="590"/>
        <w:ind w:firstLine="64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（三）不得危及核心保护范围内的建筑安全。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pacing w:val="6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第十八条</w:t>
      </w:r>
      <w:r>
        <w:rPr>
          <w:rFonts w:ascii="仿宋_GB2312" w:hAnsi="仿宋_GB2312" w:cs="黑体" w:hint="eastAsia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在历史建筑核心保护范围和建设控制地带内进行新建、扩建、改建活动，建设单位或者个人在申请办理规划许可时，应当同时提交历史建筑保护的具体方案。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在作出规划许可前，应当征求同级</w:t>
      </w:r>
      <w:r>
        <w:rPr>
          <w:rFonts w:ascii="仿宋_GB2312" w:hAnsi="仿宋_GB2312" w:cs="仿宋_GB2312" w:hint="eastAsia"/>
          <w:sz w:val="32"/>
          <w:szCs w:val="32"/>
        </w:rPr>
        <w:t>文化旅游</w:t>
      </w:r>
      <w:r>
        <w:rPr>
          <w:rFonts w:ascii="仿宋_GB2312" w:hAnsi="仿宋_GB2312" w:cs="仿宋_GB2312" w:hint="eastAsia"/>
          <w:kern w:val="0"/>
          <w:sz w:val="32"/>
          <w:szCs w:val="32"/>
        </w:rPr>
        <w:t>主管</w:t>
      </w:r>
      <w:r>
        <w:rPr>
          <w:rFonts w:ascii="仿宋_GB2312" w:hAnsi="仿宋_GB2312" w:cs="仿宋_GB2312" w:hint="eastAsia"/>
          <w:sz w:val="32"/>
          <w:szCs w:val="32"/>
        </w:rPr>
        <w:t>部门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的书面意见，必要时应当组织专家论证和征求公众意见。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第十九条</w:t>
      </w:r>
      <w:r>
        <w:rPr>
          <w:rFonts w:ascii="仿宋_GB2312" w:hAnsi="仿宋_GB2312" w:cs="黑体" w:hint="eastAsia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任何单位和个人不得损坏或者擅自迁移、拆除历史建筑。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第二十条</w:t>
      </w:r>
      <w:r>
        <w:rPr>
          <w:rFonts w:ascii="仿宋_GB2312" w:hAnsi="仿宋_GB2312" w:cs="仿宋_GB2312" w:hint="eastAsia"/>
          <w:sz w:val="32"/>
          <w:szCs w:val="32"/>
        </w:rPr>
        <w:t xml:space="preserve">  建设工程选址，应当尽可能避开历史建筑；因特殊情况不能避开的，应当尽可能实施原址保护。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对历史建筑实施原址保护的，建设单位应当事先确定保护措施，报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z w:val="32"/>
          <w:szCs w:val="32"/>
        </w:rPr>
        <w:t>会同同级文化旅游</w:t>
      </w:r>
      <w:r>
        <w:rPr>
          <w:rFonts w:ascii="仿宋_GB2312" w:hAnsi="仿宋_GB2312" w:cs="仿宋_GB2312" w:hint="eastAsia"/>
          <w:kern w:val="0"/>
          <w:sz w:val="32"/>
          <w:szCs w:val="32"/>
        </w:rPr>
        <w:t>主管</w:t>
      </w:r>
      <w:r>
        <w:rPr>
          <w:rFonts w:ascii="仿宋_GB2312" w:hAnsi="仿宋_GB2312" w:cs="仿宋_GB2312" w:hint="eastAsia"/>
          <w:sz w:val="32"/>
          <w:szCs w:val="32"/>
        </w:rPr>
        <w:t>部门批准。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因公共利益需要进行建设活动，对历史建筑无法实施原址保护，必须迁移异地保护或者拆除的，应当由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z w:val="32"/>
          <w:szCs w:val="32"/>
        </w:rPr>
        <w:t>会同同级文化旅游</w:t>
      </w:r>
      <w:r>
        <w:rPr>
          <w:rFonts w:ascii="仿宋_GB2312" w:hAnsi="仿宋_GB2312" w:cs="仿宋_GB2312" w:hint="eastAsia"/>
          <w:kern w:val="0"/>
          <w:sz w:val="32"/>
          <w:szCs w:val="32"/>
        </w:rPr>
        <w:t>主管</w:t>
      </w:r>
      <w:r>
        <w:rPr>
          <w:rFonts w:ascii="仿宋_GB2312" w:hAnsi="仿宋_GB2312" w:cs="仿宋_GB2312" w:hint="eastAsia"/>
          <w:sz w:val="32"/>
          <w:szCs w:val="32"/>
        </w:rPr>
        <w:t>部门依法报省人民政府有关主管部门批准。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楷体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32"/>
          <w:szCs w:val="32"/>
        </w:rPr>
        <w:t>本条规定的历史建筑原址保护、迁移、拆除所需费用，由建设单位列入建设工程预算。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pacing w:val="6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第二十一条</w:t>
      </w:r>
      <w:r>
        <w:rPr>
          <w:rFonts w:ascii="仿宋_GB2312" w:hAnsi="仿宋_GB2312" w:cs="黑体" w:hint="eastAsia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对历史建筑进行外部修缮装饰、添加设施以及改变历史建筑的结构或者使用性质的，应当经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会同同级</w:t>
      </w:r>
      <w:r>
        <w:rPr>
          <w:rFonts w:ascii="仿宋_GB2312" w:hAnsi="仿宋_GB2312" w:cs="仿宋_GB2312" w:hint="eastAsia"/>
          <w:sz w:val="32"/>
          <w:szCs w:val="32"/>
        </w:rPr>
        <w:t>文化旅游</w:t>
      </w:r>
      <w:r>
        <w:rPr>
          <w:rFonts w:ascii="仿宋_GB2312" w:hAnsi="仿宋_GB2312" w:cs="仿宋_GB2312" w:hint="eastAsia"/>
          <w:kern w:val="0"/>
          <w:sz w:val="32"/>
          <w:szCs w:val="32"/>
        </w:rPr>
        <w:t>主管</w:t>
      </w:r>
      <w:r>
        <w:rPr>
          <w:rFonts w:ascii="仿宋_GB2312" w:hAnsi="仿宋_GB2312" w:cs="仿宋_GB2312" w:hint="eastAsia"/>
          <w:sz w:val="32"/>
          <w:szCs w:val="32"/>
        </w:rPr>
        <w:t>部门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批准，并依照有关法律法规的规定办理相关手续。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第二十二条</w:t>
      </w:r>
      <w:r>
        <w:rPr>
          <w:rFonts w:ascii="仿宋_GB2312" w:hAnsi="仿宋_GB2312" w:cs="仿宋_GB2312" w:hint="eastAsia"/>
          <w:kern w:val="0"/>
          <w:sz w:val="32"/>
          <w:szCs w:val="32"/>
          <w:shd w:fill="FFFFFF" w:val="clear"/>
        </w:rPr>
        <w:t xml:space="preserve">  禁止在历史建筑上刻划、涂污和有其他影响安全和景观的行为。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第二十三条</w:t>
      </w:r>
      <w:r>
        <w:rPr>
          <w:rFonts w:ascii="仿宋_GB2312" w:hAnsi="仿宋_GB2312" w:cs="仿宋_GB2312" w:hint="eastAsia"/>
          <w:sz w:val="32"/>
          <w:szCs w:val="32"/>
        </w:rPr>
        <w:t xml:space="preserve">  历史建筑保护实行保护责任人制度，保护责任人按照以下规定确定：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（一）国有历史建筑，其管理人为保护责任人；没有管理人的，其使用人为保护责任人。管理人、使用人均不明确的，住房城乡建设</w:t>
      </w:r>
      <w:r>
        <w:rPr>
          <w:rFonts w:ascii="仿宋_GB2312" w:hAnsi="仿宋_GB2312" w:cs="仿宋_GB2312" w:hint="eastAsia"/>
          <w:kern w:val="0"/>
          <w:sz w:val="32"/>
          <w:szCs w:val="32"/>
        </w:rPr>
        <w:t>主管</w:t>
      </w:r>
      <w:r>
        <w:rPr>
          <w:rFonts w:ascii="仿宋_GB2312" w:hAnsi="仿宋_GB2312" w:cs="仿宋_GB2312" w:hint="eastAsia"/>
          <w:sz w:val="32"/>
          <w:szCs w:val="32"/>
        </w:rPr>
        <w:t>部门为保护责任人；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非国有历史建筑，其所有权人为保护责任人；所有权不明的，管理人为保护责任人；没有管理人的，其使用人为保护责任人。所有权人、管理人、使用人另有约定的，从其约定。所有权人、管理人、使用人均不明确的，由市</w:t>
      </w:r>
      <w:r>
        <w:rPr>
          <w:rFonts w:ascii="仿宋_GB2312" w:hAnsi="仿宋_GB2312" w:cs="仿宋_GB2312" w:hint="eastAsia"/>
          <w:b/>
          <w:sz w:val="32"/>
          <w:szCs w:val="32"/>
        </w:rPr>
        <w:t>、</w:t>
      </w:r>
      <w:r>
        <w:rPr>
          <w:rFonts w:ascii="仿宋_GB2312" w:hAnsi="仿宋_GB2312" w:cs="仿宋_GB2312" w:hint="eastAsia"/>
          <w:sz w:val="32"/>
          <w:szCs w:val="32"/>
        </w:rPr>
        <w:t>县（市）人民政府指定保护责任人。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保护责任人不具备历史建筑保护能力的，可以向当地住房城乡建设</w:t>
      </w:r>
      <w:r>
        <w:rPr>
          <w:rFonts w:ascii="仿宋_GB2312" w:hAnsi="仿宋_GB2312" w:cs="仿宋_GB2312" w:hint="eastAsia"/>
          <w:kern w:val="0"/>
          <w:sz w:val="32"/>
          <w:szCs w:val="32"/>
        </w:rPr>
        <w:t>主管</w:t>
      </w:r>
      <w:r>
        <w:rPr>
          <w:rFonts w:ascii="仿宋_GB2312" w:hAnsi="仿宋_GB2312" w:cs="仿宋_GB2312" w:hint="eastAsia"/>
          <w:sz w:val="32"/>
          <w:szCs w:val="32"/>
        </w:rPr>
        <w:t>部门申请代管，代管人为保护责任人。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第二十四条</w:t>
      </w:r>
      <w:r>
        <w:rPr>
          <w:rFonts w:ascii="仿宋_GB2312" w:hAnsi="仿宋_GB2312" w:cs="仿宋_GB2312" w:hint="eastAsia"/>
          <w:sz w:val="32"/>
          <w:szCs w:val="32"/>
        </w:rPr>
        <w:t xml:space="preserve">  市、县（市、区）人民政府</w:t>
      </w:r>
      <w:r>
        <w:rPr>
          <w:rFonts w:ascii="仿宋_GB2312" w:hAnsi="仿宋_GB2312" w:cs="仿宋_GB2312" w:hint="eastAsia"/>
          <w:kern w:val="0"/>
          <w:sz w:val="32"/>
          <w:szCs w:val="32"/>
        </w:rPr>
        <w:t>可以与保护责任人签订历史建筑保护责任书，明确保护责任人对历史建筑</w:t>
      </w:r>
      <w:r>
        <w:rPr>
          <w:rFonts w:ascii="仿宋_GB2312" w:hAnsi="仿宋_GB2312" w:cs="仿宋_GB2312" w:hint="eastAsia"/>
          <w:sz w:val="32"/>
          <w:szCs w:val="32"/>
        </w:rPr>
        <w:t>履行下列保护责任：</w:t>
      </w:r>
    </w:p>
    <w:p>
      <w:pPr>
        <w:pStyle w:val="Style15"/>
        <w:shd w:fill="FFFFFF" w:val="clear"/>
        <w:spacing w:lineRule="exact" w:line="590" w:before="0" w:after="0"/>
        <w:ind w:firstLineChars="200" w:startChars="0" w:start="0" w:endChars="0" w:end="0"/>
        <w:rPr>
          <w:rFonts w:ascii="仿宋_GB2312" w:hAnsi="仿宋_GB2312" w:eastAsia="仿宋_GB2312" w:cs="仿宋_GB2312"/>
          <w:color w:val="191919"/>
          <w:sz w:val="32"/>
          <w:szCs w:val="32"/>
        </w:rPr>
      </w:pPr>
      <w:r>
        <w:rPr>
          <w:rFonts w:ascii="仿宋_GB2312" w:hAnsi="仿宋_GB2312" w:cs="仿宋_GB2312" w:hint="eastAsia"/>
          <w:color w:val="191919"/>
          <w:sz w:val="32"/>
          <w:szCs w:val="32"/>
        </w:rPr>
        <w:t>（一）保持原有的高度、体量、立面和色彩；</w:t>
      </w:r>
    </w:p>
    <w:p>
      <w:pPr>
        <w:pStyle w:val="Style15"/>
        <w:shd w:fill="FFFFFF" w:val="clear"/>
        <w:spacing w:lineRule="exact" w:line="590" w:before="0" w:after="0"/>
        <w:ind w:firstLineChars="200" w:startChars="0" w:start="0" w:endChars="0" w:end="0"/>
        <w:rPr>
          <w:rFonts w:ascii="仿宋_GB2312" w:hAnsi="仿宋_GB2312" w:eastAsia="仿宋_GB2312" w:cs="仿宋_GB2312"/>
          <w:color w:val="191919"/>
          <w:sz w:val="32"/>
          <w:szCs w:val="32"/>
        </w:rPr>
      </w:pPr>
      <w:r>
        <w:rPr>
          <w:rFonts w:ascii="仿宋_GB2312" w:hAnsi="仿宋_GB2312" w:cs="仿宋_GB2312" w:hint="eastAsia"/>
          <w:color w:val="191919"/>
          <w:sz w:val="32"/>
          <w:szCs w:val="32"/>
        </w:rPr>
        <w:t>（二）保护传统格局、历史风貌、特色装饰和历史环境要素的完整性；</w:t>
      </w:r>
    </w:p>
    <w:p>
      <w:pPr>
        <w:pStyle w:val="Style15"/>
        <w:shd w:fill="FFFFFF" w:val="clear"/>
        <w:spacing w:lineRule="exact" w:line="590" w:before="0" w:after="0"/>
        <w:ind w:firstLineChars="200" w:startChars="0" w:start="0" w:endChars="0" w:end="0"/>
        <w:rPr>
          <w:rFonts w:ascii="仿宋_GB2312" w:hAnsi="仿宋_GB2312" w:eastAsia="仿宋_GB2312" w:cs="仿宋_GB2312"/>
          <w:color w:val="191919"/>
          <w:sz w:val="32"/>
          <w:szCs w:val="32"/>
        </w:rPr>
      </w:pPr>
      <w:r>
        <w:rPr>
          <w:rFonts w:ascii="仿宋_GB2312" w:hAnsi="仿宋_GB2312" w:cs="仿宋_GB2312" w:hint="eastAsia"/>
          <w:color w:val="191919"/>
          <w:sz w:val="32"/>
          <w:szCs w:val="32"/>
        </w:rPr>
        <w:t>（三）保障结构安全，发现险情时及时采取排险措施，并向有关主管部门报告；</w:t>
      </w:r>
    </w:p>
    <w:p>
      <w:pPr>
        <w:pStyle w:val="Style15"/>
        <w:shd w:fill="FFFFFF" w:val="clear"/>
        <w:spacing w:lineRule="exact" w:line="590" w:before="0" w:after="0"/>
        <w:ind w:firstLineChars="200" w:startChars="0" w:start="0" w:endChars="0" w:end="0"/>
        <w:rPr>
          <w:rFonts w:ascii="仿宋_GB2312" w:hAnsi="仿宋_GB2312" w:eastAsia="仿宋_GB2312" w:cs="仿宋_GB2312"/>
          <w:color w:val="191919"/>
          <w:sz w:val="32"/>
          <w:szCs w:val="32"/>
        </w:rPr>
      </w:pPr>
      <w:r>
        <w:rPr>
          <w:rFonts w:ascii="仿宋_GB2312" w:hAnsi="仿宋_GB2312" w:cs="仿宋_GB2312" w:hint="eastAsia"/>
          <w:color w:val="191919"/>
          <w:sz w:val="32"/>
          <w:szCs w:val="32"/>
        </w:rPr>
        <w:t>（四）确保</w:t>
      </w:r>
      <w:hyperlink r:id="rId2" w:tgtFrame="https://baike.baidu.com/item/%E5%8E%86%E5%8F%B2%E6%96%87%E5%8C%96%E5%90%8D%E5%9F%8E%E5%90%8D%E9%95%87%E5%90%8D%E6%9D%91%E4%BF%9D%E6%8A%A4%E6%9D%A1%E4%BE%8B/_blank">
        <w:r>
          <w:rPr>
            <w:rStyle w:val="Hyperlink"/>
            <w:rFonts w:ascii="仿宋_GB2312" w:hAnsi="仿宋_GB2312" w:cs="仿宋_GB2312" w:hint="eastAsia"/>
            <w:sz w:val="32"/>
            <w:szCs w:val="32"/>
          </w:rPr>
          <w:t>消防通道</w:t>
        </w:r>
      </w:hyperlink>
      <w:r>
        <w:rPr>
          <w:rFonts w:ascii="仿宋_GB2312" w:hAnsi="仿宋_GB2312" w:cs="仿宋_GB2312" w:hint="eastAsia"/>
          <w:sz w:val="32"/>
          <w:szCs w:val="32"/>
        </w:rPr>
        <w:t>畅通，</w:t>
      </w:r>
      <w:r>
        <w:rPr>
          <w:rFonts w:ascii="仿宋_GB2312" w:hAnsi="仿宋_GB2312" w:cs="仿宋_GB2312" w:hint="eastAsia"/>
          <w:color w:val="191919"/>
          <w:sz w:val="32"/>
          <w:szCs w:val="32"/>
        </w:rPr>
        <w:t>消防、防灾等设施、设备的正常使用；</w:t>
      </w:r>
    </w:p>
    <w:p>
      <w:pPr>
        <w:pStyle w:val="Style15"/>
        <w:shd w:fill="FFFFFF" w:val="clear"/>
        <w:spacing w:lineRule="exact" w:line="590" w:before="0" w:after="0"/>
        <w:ind w:firstLineChars="200" w:startChars="0" w:start="0" w:endChars="0" w:end="0"/>
        <w:rPr>
          <w:rFonts w:ascii="仿宋_GB2312" w:hAnsi="仿宋_GB2312" w:eastAsia="仿宋_GB2312" w:cs="仿宋_GB2312"/>
          <w:color w:val="191919"/>
          <w:sz w:val="32"/>
          <w:szCs w:val="32"/>
        </w:rPr>
      </w:pPr>
      <w:r>
        <w:rPr>
          <w:rFonts w:ascii="仿宋_GB2312" w:hAnsi="仿宋_GB2312" w:cs="仿宋_GB2312" w:hint="eastAsia"/>
          <w:color w:val="191919"/>
          <w:sz w:val="32"/>
          <w:szCs w:val="32"/>
        </w:rPr>
        <w:t>（五）按照保护规划的要求维护修缮、合理利用；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color w:val="191919"/>
          <w:sz w:val="32"/>
          <w:szCs w:val="32"/>
        </w:rPr>
      </w:pPr>
      <w:r>
        <w:rPr>
          <w:rFonts w:ascii="仿宋_GB2312" w:hAnsi="仿宋_GB2312" w:cs="仿宋_GB2312" w:hint="eastAsia"/>
          <w:color w:val="191919"/>
          <w:sz w:val="32"/>
          <w:szCs w:val="32"/>
        </w:rPr>
        <w:t>（六）法律法规规定的其他要求。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第二十五条</w:t>
      </w:r>
      <w:r>
        <w:rPr>
          <w:rFonts w:ascii="仿宋_GB2312" w:hAnsi="仿宋_GB2312" w:cs="黑体" w:hint="eastAsia"/>
          <w:bCs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z w:val="32"/>
          <w:szCs w:val="32"/>
        </w:rPr>
        <w:t>应当根据历史建筑保护责任人的需要，及时提供保护、维护修缮等方面的信息和技术指导。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保护责任人应当按照保护规划和保护图则的要求，对历史建筑进行维护修缮，并承担相应费用。市、县（市、区）人民政府应当根据其维护修缮的性质、面积、程度和质量等情况给予补助。</w:t>
      </w:r>
    </w:p>
    <w:p>
      <w:pPr>
        <w:pStyle w:val="Normal"/>
        <w:widowControl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pacing w:val="6"/>
          <w:kern w:val="0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第二十六条</w:t>
      </w:r>
      <w:r>
        <w:rPr>
          <w:rFonts w:ascii="仿宋_GB2312" w:hAnsi="仿宋_GB2312" w:cs="仿宋_GB2312" w:hint="eastAsia"/>
          <w:sz w:val="32"/>
          <w:szCs w:val="32"/>
        </w:rPr>
        <w:t xml:space="preserve">  发现</w:t>
      </w:r>
      <w:r>
        <w:rPr>
          <w:rFonts w:ascii="仿宋_GB2312" w:hAnsi="仿宋_GB2312" w:cs="仿宋_GB2312" w:hint="eastAsia"/>
          <w:spacing w:val="6"/>
          <w:kern w:val="0"/>
          <w:sz w:val="32"/>
          <w:szCs w:val="32"/>
        </w:rPr>
        <w:t>历史建筑有损毁危险，保护责任人未及时修缮的，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pacing w:val="6"/>
          <w:kern w:val="0"/>
          <w:sz w:val="32"/>
          <w:szCs w:val="32"/>
        </w:rPr>
        <w:t>应当督促保护责任人履行修缮义务。保护责任人不具备修缮能力的，市、县（市、区）人民政府应当采取措施进行保护。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kern w:val="0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第二十七条</w:t>
      </w:r>
      <w:r>
        <w:rPr>
          <w:rFonts w:ascii="仿宋_GB2312" w:hAnsi="仿宋_GB2312" w:cs="仿宋_GB2312" w:hint="eastAsia"/>
          <w:sz w:val="32"/>
          <w:szCs w:val="32"/>
        </w:rPr>
        <w:t xml:space="preserve">  市、县（市、区）人民政府应当鼓励、支持</w:t>
      </w:r>
      <w:r>
        <w:rPr>
          <w:rFonts w:ascii="仿宋_GB2312" w:hAnsi="仿宋_GB2312" w:cs="仿宋_GB2312" w:hint="eastAsia"/>
          <w:kern w:val="0"/>
          <w:sz w:val="32"/>
          <w:szCs w:val="32"/>
        </w:rPr>
        <w:t>企业事业单位、社会组织和个人</w:t>
      </w:r>
      <w:r>
        <w:rPr>
          <w:rFonts w:ascii="仿宋_GB2312" w:hAnsi="仿宋_GB2312" w:cs="仿宋_GB2312" w:hint="eastAsia"/>
          <w:sz w:val="32"/>
          <w:szCs w:val="32"/>
        </w:rPr>
        <w:t>依法参与历史建筑的保护和活化利用工作，并加强对合理利用情况的监督检查。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历史建筑的所有权人或者使用人依法可以通过合资、合作、委托管理等方式，与有关单位和个人共同开发利用历史建筑。</w:t>
      </w:r>
    </w:p>
    <w:p>
      <w:pPr>
        <w:pStyle w:val="Normal"/>
        <w:widowControl/>
        <w:spacing w:lineRule="exact" w:line="590"/>
        <w:ind w:firstLine="688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第二十八条</w:t>
      </w:r>
      <w:r>
        <w:rPr>
          <w:rFonts w:ascii="仿宋_GB2312" w:hAnsi="仿宋_GB2312" w:cs="仿宋_GB2312" w:hint="eastAsia"/>
          <w:sz w:val="32"/>
          <w:szCs w:val="32"/>
        </w:rPr>
        <w:t xml:space="preserve">  历史建筑的合理利用应当符合保护规划的要求，实现保护与利用协调发展。</w:t>
      </w:r>
    </w:p>
    <w:p>
      <w:pPr>
        <w:pStyle w:val="Normal"/>
        <w:widowControl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z w:val="32"/>
          <w:szCs w:val="32"/>
          <w:shd w:fill="FFFFFF" w:val="clear"/>
        </w:rPr>
      </w:pPr>
      <w:r>
        <w:rPr>
          <w:rFonts w:ascii="仿宋_GB2312" w:hAnsi="仿宋_GB2312" w:cs="仿宋_GB2312" w:hint="eastAsia"/>
          <w:sz w:val="32"/>
          <w:szCs w:val="32"/>
        </w:rPr>
        <w:t xml:space="preserve">历史建筑的合理利用应当充分挖掘和弘扬其文化内涵，鼓励开展文化创意、休闲旅游、文化研究、传统手工业、非物质文化遗产展示、特色文化体验、开办展览馆和博物馆等特色经营活动或者公益活动。 </w:t>
      </w:r>
    </w:p>
    <w:p>
      <w:pPr>
        <w:pStyle w:val="Normal"/>
        <w:widowControl/>
        <w:spacing w:lineRule="exact" w:line="590"/>
        <w:rPr>
          <w:rFonts w:ascii="仿宋_GB2312" w:hAnsi="仿宋_GB2312" w:eastAsia="仿宋_GB2312" w:cs="仿宋_GB2312"/>
          <w:sz w:val="32"/>
          <w:szCs w:val="32"/>
          <w:shd w:fill="FFFFFF" w:val="clear"/>
        </w:rPr>
      </w:pPr>
      <w:r>
        <w:rPr>
          <w:rFonts w:eastAsia="仿宋_GB2312" w:cs="仿宋_GB2312" w:ascii="仿宋_GB2312" w:hAnsi="仿宋_GB2312"/>
          <w:sz w:val="32"/>
          <w:szCs w:val="32"/>
          <w:shd w:fill="FFFFFF" w:val="clear"/>
        </w:rPr>
      </w:r>
    </w:p>
    <w:p>
      <w:pPr>
        <w:pStyle w:val="Normal"/>
        <w:widowControl/>
        <w:spacing w:lineRule="exact" w:line="590"/>
        <w:jc w:val="center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第四章  法律责任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第二十九条</w:t>
      </w:r>
      <w:r>
        <w:rPr>
          <w:rFonts w:ascii="仿宋_GB2312" w:hAnsi="仿宋_GB2312" w:cs="仿宋_GB2312" w:hint="eastAsia"/>
          <w:sz w:val="32"/>
          <w:szCs w:val="32"/>
        </w:rPr>
        <w:t xml:space="preserve">  市、县（市、区）人民政府及其有关主管部门违反本条例规定，有下列行为之一的，由上级行政机关或者其他有权机关责令改正，对直接负责的主管人员和其他直接责任人员依法给予处分：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（一）未按照规定进行普查调查、申报、名录管理等工作的；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（二）未按照规定组织编制、公布保护规划、建立历史建筑档案的；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（三）未按照规定设置保护标志的；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（四）不履行监督管理职责或者发现违法行为不予处理的；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（五）其他违反法律法规规定行为的。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第三十条</w:t>
      </w:r>
      <w:r>
        <w:rPr>
          <w:rFonts w:ascii="仿宋_GB2312" w:hAnsi="仿宋_GB2312" w:cs="仿宋_GB2312" w:hint="eastAsia"/>
          <w:sz w:val="32"/>
          <w:szCs w:val="32"/>
        </w:rPr>
        <w:t xml:space="preserve">  违反本条例第十一条第二款规定，擅自设置、移动、涂改或者损毁历史建筑保护标志的，由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z w:val="32"/>
          <w:szCs w:val="32"/>
        </w:rPr>
        <w:t>责令限期改正；逾期不改正的，对单位处一万元以上五万元以下的罚款，对个人处一千元以上一万元以下的罚款。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pacing w:val="6"/>
          <w:sz w:val="32"/>
          <w:szCs w:val="32"/>
        </w:rPr>
      </w:pPr>
      <w:r>
        <w:rPr>
          <w:rFonts w:ascii="黑体" w:hAnsi="黑体" w:cs="黑体" w:hint="eastAsia" w:eastAsia="黑体"/>
          <w:spacing w:val="6"/>
          <w:sz w:val="32"/>
          <w:szCs w:val="32"/>
        </w:rPr>
        <w:t>第三十一条</w:t>
      </w:r>
      <w:r>
        <w:rPr>
          <w:rFonts w:ascii="仿宋_GB2312" w:hAnsi="仿宋_GB2312" w:cs="黑体" w:hint="eastAsia"/>
          <w:spacing w:val="6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违反本条例第十九条规定，损坏或者擅自迁移、拆除历史建筑的，由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责令停止违法行为、限期恢复原状或者采取其他补救措施；有违法所得的，没收违法所得；逾期不恢复原状或者不采取其他补救措施的，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依法可以指定有能力的单位代为恢复原状或者采取其他补救措施，所需费用由违法者承担；造成严重后果的，对单位并处二十万元以上五十万元以下的罚款，对个人并处十万元以上二十万元以下的罚款；造成损失的，依法承担赔偿责任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pacing w:val="6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第三十二条</w:t>
      </w:r>
      <w:r>
        <w:rPr>
          <w:rFonts w:ascii="仿宋_GB2312" w:hAnsi="仿宋_GB2312" w:cs="黑体" w:hint="eastAsia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违反本条例第二十一条规定，未经批准，对历史建筑进行外部修缮装饰、添加设施以及改变历史建筑的结构或者使用性质的，由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责令停止违法行为、限期恢复原状或者采取其他补救措施；有违法所得的，没收违法所得；逾期不恢复原状或者不采取其他补救措施的，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依法可以指定有能力的单位代为恢复原状或者采取其他补救措施，所需费用由违法者承担；造成严重后果的，对单位并处五万元以上十万元以下的罚款，对个人并处一万元以上五万元以下的罚款；造成损失的，依法承担赔偿责任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pacing w:val="6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第三十三条</w:t>
      </w:r>
      <w:r>
        <w:rPr>
          <w:rFonts w:ascii="仿宋_GB2312" w:hAnsi="仿宋_GB2312" w:cs="仿宋_GB2312" w:hint="eastAsia"/>
          <w:sz w:val="32"/>
          <w:szCs w:val="32"/>
        </w:rPr>
        <w:t xml:space="preserve">  违反本条例第二十二条规定，</w:t>
      </w:r>
      <w:r>
        <w:rPr>
          <w:rFonts w:ascii="仿宋_GB2312" w:hAnsi="仿宋_GB2312" w:cs="仿宋_GB2312" w:hint="eastAsia"/>
          <w:kern w:val="0"/>
          <w:sz w:val="32"/>
          <w:szCs w:val="32"/>
          <w:shd w:fill="FFFFFF" w:val="clear"/>
        </w:rPr>
        <w:t>在历史建筑上刻划、涂污</w:t>
      </w:r>
      <w:r>
        <w:rPr>
          <w:rFonts w:ascii="仿宋_GB2312" w:hAnsi="仿宋_GB2312" w:cs="仿宋_GB2312" w:hint="eastAsia"/>
          <w:sz w:val="32"/>
          <w:szCs w:val="32"/>
        </w:rPr>
        <w:t>的，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由</w:t>
      </w:r>
      <w:r>
        <w:rPr>
          <w:rFonts w:ascii="仿宋_GB2312" w:hAnsi="仿宋_GB2312" w:cs="仿宋_GB2312" w:hint="eastAsia"/>
          <w:kern w:val="0"/>
          <w:sz w:val="32"/>
          <w:szCs w:val="32"/>
        </w:rPr>
        <w:t>自然资源主管部门</w:t>
      </w:r>
      <w:r>
        <w:rPr>
          <w:rFonts w:ascii="仿宋_GB2312" w:hAnsi="仿宋_GB2312" w:cs="仿宋_GB2312" w:hint="eastAsia"/>
          <w:spacing w:val="6"/>
          <w:sz w:val="32"/>
          <w:szCs w:val="32"/>
        </w:rPr>
        <w:t>责令恢复原状或者采取其他补救措施，处五十元的罚款。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>第三十四条</w:t>
      </w:r>
      <w:r>
        <w:rPr>
          <w:rFonts w:ascii="仿宋_GB2312" w:hAnsi="仿宋_GB2312" w:cs="黑体" w:hint="eastAsia"/>
          <w:color w:val="000000"/>
          <w:sz w:val="32"/>
          <w:szCs w:val="32"/>
        </w:rPr>
        <w:t xml:space="preserve">  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本条例规定的行政处罚以及与行政处罚相关的行政强制措施，实施相对集中城市管理行政执法的，依法由城市管理综合执法部门实施；其他的依法由有关部门实施。</w:t>
      </w:r>
    </w:p>
    <w:p>
      <w:pPr>
        <w:pStyle w:val="Normal"/>
        <w:widowControl/>
        <w:spacing w:lineRule="exact" w:line="590"/>
        <w:rPr>
          <w:rFonts w:ascii="仿宋_GB2312" w:hAnsi="仿宋_GB2312" w:eastAsia="仿宋_GB2312" w:cs="仿宋_GB2312"/>
          <w:color w:val="000000"/>
          <w:sz w:val="32"/>
          <w:szCs w:val="32"/>
        </w:rPr>
      </w:pPr>
      <w:r>
        <w:rPr>
          <w:rFonts w:eastAsia="仿宋_GB2312" w:cs="仿宋_GB2312" w:ascii="仿宋_GB2312" w:hAnsi="仿宋_GB2312"/>
          <w:color w:val="000000"/>
          <w:sz w:val="32"/>
          <w:szCs w:val="32"/>
        </w:rPr>
      </w:r>
    </w:p>
    <w:p>
      <w:pPr>
        <w:pStyle w:val="Normal"/>
        <w:widowControl/>
        <w:spacing w:lineRule="exact" w:line="590"/>
        <w:jc w:val="center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第五章  附  则</w:t>
      </w:r>
    </w:p>
    <w:p>
      <w:pPr>
        <w:pStyle w:val="Normal"/>
        <w:widowControl/>
        <w:spacing w:lineRule="exact" w:line="590"/>
        <w:ind w:firstLineChars="200" w:startChars="0" w:start="0" w:endChars="0" w:end="0"/>
        <w:jc w:val="center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eastAsia="仿宋_GB2312" w:cs="仿宋_GB2312" w:ascii="仿宋_GB2312" w:hAnsi="仿宋_GB2312"/>
          <w:b/>
          <w:sz w:val="32"/>
          <w:szCs w:val="32"/>
        </w:rPr>
      </w:r>
    </w:p>
    <w:p>
      <w:pPr>
        <w:pStyle w:val="Normal"/>
        <w:snapToGrid w:val="false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第三十五条</w:t>
      </w:r>
      <w:r>
        <w:rPr>
          <w:rFonts w:ascii="仿宋_GB2312" w:hAnsi="仿宋_GB2312" w:cs="仿宋_GB2312" w:hint="eastAsia"/>
          <w:sz w:val="32"/>
          <w:szCs w:val="32"/>
        </w:rPr>
        <w:t xml:space="preserve">  本条例自</w:t>
      </w:r>
      <w:r>
        <w:rPr>
          <w:rFonts w:eastAsia="宋体" w:cs="宋体" w:hint="eastAsia" w:ascii="宋体" w:hAnsi="宋体"/>
          <w:sz w:val="32"/>
          <w:szCs w:val="32"/>
        </w:rPr>
        <w:t>2018</w:t>
      </w:r>
      <w:r>
        <w:rPr>
          <w:rFonts w:ascii="仿宋_GB2312" w:hAnsi="仿宋_GB2312" w:cs="仿宋_GB2312" w:hint="eastAsia"/>
          <w:sz w:val="32"/>
          <w:szCs w:val="32"/>
        </w:rPr>
        <w:t>年</w:t>
      </w:r>
      <w:r>
        <w:rPr>
          <w:rFonts w:eastAsia="宋体" w:cs="宋体" w:hint="eastAsia" w:ascii="宋体" w:hAnsi="宋体"/>
          <w:sz w:val="32"/>
          <w:szCs w:val="32"/>
        </w:rPr>
        <w:t>6</w:t>
      </w:r>
      <w:r>
        <w:rPr>
          <w:rFonts w:ascii="仿宋_GB2312" w:hAnsi="仿宋_GB2312" w:cs="仿宋_GB2312" w:hint="eastAsia"/>
          <w:sz w:val="32"/>
          <w:szCs w:val="32"/>
        </w:rPr>
        <w:t>月</w:t>
      </w:r>
      <w:r>
        <w:rPr>
          <w:rFonts w:eastAsia="宋体" w:cs="宋体" w:hint="eastAsia" w:ascii="宋体" w:hAnsi="宋体"/>
          <w:sz w:val="32"/>
          <w:szCs w:val="32"/>
        </w:rPr>
        <w:t>1</w:t>
      </w:r>
      <w:r>
        <w:rPr>
          <w:rFonts w:ascii="仿宋_GB2312" w:hAnsi="仿宋_GB2312" w:cs="仿宋_GB2312" w:hint="eastAsia"/>
          <w:sz w:val="32"/>
          <w:szCs w:val="32"/>
        </w:rPr>
        <w:t>日起施行。</w:t>
      </w:r>
    </w:p>
    <w:p>
      <w:pPr>
        <w:pStyle w:val="Normal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等线">
    <w:altName w:val="宋体"/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Calibri">
    <w:charset w:val="00" w:characterSet="windows-1252"/>
    <w:family w:val="swiss"/>
    <w:pitch w:val="default"/>
  </w:font>
  <w:font w:name="Times New Roman">
    <w:charset w:val="cc" w:characterSet="windows-1251"/>
    <w:family w:val="roman"/>
    <w:pitch w:val="default"/>
  </w:font>
  <w:font w:name="楷体_GB2312">
    <w:charset w:val="86"/>
    <w:family w:val="modern"/>
    <w:pitch w:val="default"/>
  </w:font>
  <w:font w:name="黑体">
    <w:charset w:val="86"/>
    <w:family w:val="auto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6"/>
    <w:qFormat/>
    <w:pPr>
      <w:widowControl w:val="false"/>
      <w:bidi w:val="0"/>
      <w:jc w:val="both"/>
    </w:pPr>
    <w:rPr>
      <w:rFonts w:ascii="等线;宋体" w:hAnsi="等线;宋体" w:eastAsia="仿宋_GB2312" w:cs="Times New Roman"/>
      <w:color w:val="auto"/>
      <w:kern w:val="2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Style16">
    <w:name w:val="正文缩进"/>
    <w:basedOn w:val="Normal"/>
    <w:next w:val="Normal"/>
    <w:qFormat/>
    <w:pPr>
      <w:ind w:firstLineChars="200" w:startChars="0" w:start="0" w:endChars="0" w:end="0"/>
    </w:pPr>
    <w:rPr>
      <w:rFonts w:ascii="Calibri" w:hAnsi="Calibri" w:eastAsia="宋体" w:cs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aike.baidu.com/item/&#28040;&#38450;&#36890;&#36947;/5113824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2021-10-27T18:35:00Z</dcterms:created>
  <dc:creator>谢浩然</dc:creator>
  <dc:description/>
  <dc:language>en-US</dc:language>
  <cp:lastModifiedBy>谢浩然</cp:lastModifiedBy>
  <dcterms:modified xsi:type="dcterms:W3CDTF">2021-10-27T18:35:30Z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2052-10.8.0.6501</vt:lpwstr>
  </property>
</Properties>
</file>