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overflowPunct w:val="false"/>
        <w:spacing w:lineRule="exact" w:line="590"/>
        <w:jc w:val="both"/>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5"/>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佛山市市场主体服务条例</w:t>
      </w:r>
    </w:p>
    <w:p>
      <w:pPr>
        <w:pStyle w:val="Normal"/>
        <w:keepNext w:val="false"/>
        <w:keepLines w:val="false"/>
        <w:pageBreakBefore w:val="false"/>
        <w:widowControl w:val="false"/>
        <w:kinsoku w:val="true"/>
        <w:overflowPunct w:val="true"/>
        <w:autoSpaceDE w:val="true"/>
        <w:bidi w:val="0"/>
        <w:snapToGrid w:val="false"/>
        <w:spacing w:lineRule="exact" w:line="600"/>
        <w:ind w:firstLineChars="100" w:startChars="0" w:start="0" w:endChars="0" w:end="0"/>
        <w:jc w:val="start"/>
        <w:textAlignment w:val="auto"/>
        <w:rPr>
          <w:rFonts w:ascii="Times New Roman" w:hAnsi="Times New Roman" w:eastAsia="楷体_GB2312" w:cs="仿宋_GB2312" w:hint="eastAsia"/>
          <w:kern w:val="0"/>
          <w:sz w:val="32"/>
          <w:szCs w:val="32"/>
        </w:rPr>
      </w:pPr>
      <w:r>
        <w:rPr>
          <w:rFonts w:ascii="Times New Roman" w:hAnsi="Times New Roman" w:cs="仿宋_GB2312" w:hint="eastAsia" w:eastAsia="楷体_GB2312"/>
          <w:kern w:val="0"/>
          <w:sz w:val="32"/>
          <w:szCs w:val="32"/>
        </w:rPr>
        <w:t>（</w:t>
      </w:r>
      <w:r>
        <w:rPr>
          <w:rFonts w:eastAsia="宋体" w:cs="宋体" w:hint="eastAsia" w:ascii="宋体" w:hAnsi="宋体"/>
          <w:sz w:val="32"/>
        </w:rPr>
        <w:t>2022</w:t>
      </w:r>
      <w:r>
        <w:rPr>
          <w:rFonts w:ascii="Times New Roman" w:hAnsi="Times New Roman" w:cs="仿宋_GB2312" w:hint="eastAsia" w:eastAsia="楷体_GB2312"/>
          <w:kern w:val="0"/>
          <w:sz w:val="32"/>
          <w:szCs w:val="32"/>
        </w:rPr>
        <w:t>年</w:t>
      </w:r>
      <w:r>
        <w:rPr>
          <w:rFonts w:eastAsia="宋体" w:cs="宋体" w:hint="eastAsia" w:ascii="宋体" w:hAnsi="宋体"/>
          <w:sz w:val="32"/>
        </w:rPr>
        <w:t>4</w:t>
      </w:r>
      <w:r>
        <w:rPr>
          <w:rFonts w:ascii="Times New Roman" w:hAnsi="Times New Roman" w:cs="仿宋_GB2312" w:hint="eastAsia" w:eastAsia="楷体_GB2312"/>
          <w:kern w:val="0"/>
          <w:sz w:val="32"/>
          <w:szCs w:val="32"/>
        </w:rPr>
        <w:t>月</w:t>
      </w:r>
      <w:r>
        <w:rPr>
          <w:rFonts w:eastAsia="宋体" w:cs="宋体" w:hint="eastAsia" w:ascii="宋体" w:hAnsi="宋体"/>
          <w:sz w:val="32"/>
        </w:rPr>
        <w:t>28</w:t>
      </w:r>
      <w:r>
        <w:rPr>
          <w:rFonts w:ascii="Times New Roman" w:hAnsi="Times New Roman" w:cs="仿宋_GB2312" w:hint="eastAsia" w:eastAsia="楷体_GB2312"/>
          <w:kern w:val="0"/>
          <w:sz w:val="32"/>
          <w:szCs w:val="32"/>
        </w:rPr>
        <w:t xml:space="preserve">日佛山市第十六届人民代表大会常务委员会第四次会议通过    </w:t>
      </w:r>
      <w:r>
        <w:rPr>
          <w:rFonts w:eastAsia="宋体" w:cs="宋体" w:hint="eastAsia" w:ascii="宋体" w:hAnsi="宋体"/>
          <w:sz w:val="32"/>
        </w:rPr>
        <w:t>2022</w:t>
      </w:r>
      <w:r>
        <w:rPr>
          <w:rFonts w:ascii="Times New Roman" w:hAnsi="Times New Roman" w:cs="仿宋_GB2312" w:hint="eastAsia" w:eastAsia="楷体_GB2312"/>
          <w:kern w:val="0"/>
          <w:sz w:val="32"/>
          <w:szCs w:val="32"/>
        </w:rPr>
        <w:t>年</w:t>
      </w:r>
      <w:r>
        <w:rPr>
          <w:rFonts w:eastAsia="宋体" w:cs="宋体" w:hint="eastAsia" w:ascii="宋体" w:hAnsi="宋体"/>
          <w:sz w:val="32"/>
        </w:rPr>
        <w:t>6</w:t>
      </w:r>
      <w:r>
        <w:rPr>
          <w:rFonts w:ascii="Times New Roman" w:hAnsi="Times New Roman" w:cs="仿宋_GB2312" w:hint="eastAsia" w:eastAsia="楷体_GB2312"/>
          <w:kern w:val="0"/>
          <w:sz w:val="32"/>
          <w:szCs w:val="32"/>
        </w:rPr>
        <w:t>月</w:t>
      </w:r>
      <w:r>
        <w:rPr>
          <w:rFonts w:eastAsia="宋体" w:cs="宋体" w:hint="eastAsia" w:ascii="宋体" w:hAnsi="宋体"/>
          <w:sz w:val="32"/>
        </w:rPr>
        <w:t>1</w:t>
      </w:r>
      <w:r>
        <w:rPr>
          <w:rFonts w:ascii="Times New Roman" w:hAnsi="Times New Roman" w:cs="仿宋_GB2312" w:hint="eastAsia" w:eastAsia="楷体_GB2312"/>
          <w:kern w:val="0"/>
          <w:sz w:val="32"/>
          <w:szCs w:val="32"/>
        </w:rPr>
        <w:t>日广东省第十三届人民代表大会常务委员会第四十三次会议批准）</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start"/>
        <w:textAlignment w:val="auto"/>
        <w:rPr>
          <w:rFonts w:ascii="楷体_GB2312" w:hAnsi="楷体_GB2312" w:eastAsia="楷体_GB2312" w:cs="楷体_GB2312" w:hint="eastAsia"/>
          <w:bCs/>
          <w:color w:val="000000"/>
          <w:kern w:val="0"/>
          <w:sz w:val="32"/>
          <w:szCs w:val="32"/>
        </w:rPr>
      </w:pPr>
      <w:r>
        <w:rPr>
          <w:rFonts w:eastAsia="楷体_GB2312" w:cs="楷体_GB2312" w:hint="eastAsia" w:ascii="楷体_GB2312" w:hAnsi="楷体_GB2312"/>
          <w:bCs/>
          <w:color w:val="000000"/>
          <w:kern w:val="0"/>
          <w:sz w:val="32"/>
          <w:szCs w:val="32"/>
        </w:rPr>
      </w:r>
    </w:p>
    <w:p>
      <w:pPr>
        <w:pStyle w:val="Style17"/>
        <w:keepNext w:val="false"/>
        <w:keepLines w:val="false"/>
        <w:pageBreakBefore w:val="false"/>
        <w:kinsoku w:val="true"/>
        <w:overflowPunct w:val="true"/>
        <w:bidi w:val="0"/>
        <w:snapToGrid w:val="false"/>
        <w:spacing w:lineRule="exact" w:line="600"/>
        <w:ind w:firstLineChars="0" w:firstLine="0" w:endChars="0" w:end="0"/>
        <w:rPr>
          <w:rFonts w:ascii="楷体_GB2312" w:hAnsi="楷体_GB2312" w:eastAsia="楷体_GB2312" w:cs="楷体_GB2312" w:hint="eastAsia"/>
          <w:bCs/>
          <w:color w:val="000000"/>
          <w:sz w:val="32"/>
          <w:szCs w:val="32"/>
        </w:rPr>
      </w:pPr>
      <w:r>
        <w:rPr>
          <w:rFonts w:eastAsia="楷体_GB2312" w:cs="楷体_GB2312" w:hint="eastAsia" w:ascii="楷体_GB2312" w:hAnsi="楷体_GB2312"/>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start"/>
        <w:textAlignment w:val="auto"/>
        <w:rPr>
          <w:rFonts w:ascii="楷体_GB2312" w:hAnsi="楷体_GB2312" w:eastAsia="楷体_GB2312" w:cs="楷体_GB2312" w:hint="eastAsia"/>
          <w:bCs/>
          <w:color w:val="000000"/>
          <w:sz w:val="32"/>
          <w:szCs w:val="32"/>
        </w:rPr>
      </w:pPr>
      <w:r>
        <w:rPr>
          <w:rFonts w:ascii="楷体_GB2312" w:hAnsi="楷体_GB2312" w:cs="楷体_GB2312" w:hint="eastAsia" w:eastAsia="楷体_GB2312"/>
          <w:bCs/>
          <w:color w:val="000000"/>
          <w:sz w:val="32"/>
          <w:szCs w:val="32"/>
        </w:rPr>
        <w:t xml:space="preserve">第一章  总 </w:t>
      </w:r>
      <w:r>
        <w:rPr>
          <w:rFonts w:ascii="楷体_GB2312" w:hAnsi="楷体_GB2312" w:cs="楷体_GB2312" w:hint="eastAsia" w:eastAsia="楷体_GB2312"/>
          <w:bCs/>
          <w:color w:val="000000"/>
          <w:sz w:val="32"/>
          <w:szCs w:val="32"/>
          <w:lang w:eastAsia="zh"/>
        </w:rPr>
        <w:t xml:space="preserve">  </w:t>
      </w:r>
      <w:r>
        <w:rPr>
          <w:rFonts w:ascii="楷体_GB2312" w:hAnsi="楷体_GB2312" w:cs="楷体_GB2312" w:hint="eastAsia" w:eastAsia="楷体_GB2312"/>
          <w:bCs/>
          <w:color w:val="000000"/>
          <w:sz w:val="32"/>
          <w:szCs w:val="32"/>
        </w:rPr>
        <w:t xml:space="preserve"> 则</w:t>
      </w:r>
    </w:p>
    <w:p>
      <w:pPr>
        <w:pStyle w:val="Style17"/>
        <w:keepNext w:val="false"/>
        <w:keepLines w:val="false"/>
        <w:pageBreakBefore w:val="false"/>
        <w:kinsoku w:val="true"/>
        <w:overflowPunct w:val="true"/>
        <w:bidi w:val="0"/>
        <w:snapToGrid w:val="false"/>
        <w:spacing w:lineRule="exact" w:line="600"/>
        <w:ind w:endChars="0" w:end="0"/>
        <w:rPr>
          <w:rFonts w:ascii="楷体_GB2312" w:hAnsi="楷体_GB2312" w:eastAsia="楷体_GB2312" w:cs="楷体_GB2312" w:hint="eastAsia"/>
          <w:bCs/>
          <w:color w:val="000000"/>
          <w:sz w:val="32"/>
          <w:szCs w:val="32"/>
        </w:rPr>
      </w:pPr>
      <w:r>
        <w:rPr>
          <w:rFonts w:ascii="楷体_GB2312" w:hAnsi="楷体_GB2312" w:cs="楷体_GB2312" w:hint="eastAsia" w:eastAsia="楷体_GB2312"/>
          <w:bCs/>
          <w:color w:val="000000"/>
          <w:sz w:val="32"/>
          <w:szCs w:val="32"/>
        </w:rPr>
        <w:t>第二章  政务服务</w:t>
      </w:r>
    </w:p>
    <w:p>
      <w:pPr>
        <w:pStyle w:val="Style17"/>
        <w:keepNext w:val="false"/>
        <w:keepLines w:val="false"/>
        <w:pageBreakBefore w:val="false"/>
        <w:numPr>
          <w:ilvl w:val="0"/>
          <w:numId w:val="0"/>
        </w:numPr>
        <w:kinsoku w:val="true"/>
        <w:overflowPunct w:val="true"/>
        <w:bidi w:val="0"/>
        <w:snapToGrid w:val="false"/>
        <w:spacing w:lineRule="exact" w:line="60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bCs/>
          <w:color w:val="000000"/>
          <w:sz w:val="32"/>
          <w:szCs w:val="32"/>
        </w:rPr>
        <w:t>第三章  公共服务</w:t>
      </w:r>
    </w:p>
    <w:p>
      <w:pPr>
        <w:pStyle w:val="Style17"/>
        <w:keepNext w:val="false"/>
        <w:keepLines w:val="false"/>
        <w:pageBreakBefore w:val="false"/>
        <w:numPr>
          <w:ilvl w:val="0"/>
          <w:numId w:val="0"/>
        </w:numPr>
        <w:kinsoku w:val="true"/>
        <w:overflowPunct w:val="true"/>
        <w:bidi w:val="0"/>
        <w:snapToGrid w:val="false"/>
        <w:spacing w:lineRule="exact" w:line="60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bCs/>
          <w:color w:val="000000"/>
          <w:sz w:val="32"/>
          <w:szCs w:val="32"/>
        </w:rPr>
        <w:t>第四章  法治保障</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Chars="200" w:startChars="0" w:start="0" w:endChars="0" w:end="0"/>
        <w:jc w:val="both"/>
        <w:textAlignment w:val="auto"/>
        <w:rPr>
          <w:rFonts w:ascii="楷体_GB2312" w:hAnsi="楷体_GB2312" w:eastAsia="楷体_GB2312" w:cs="楷体_GB2312" w:hint="eastAsia"/>
          <w:bCs/>
          <w:color w:val="000000"/>
          <w:sz w:val="32"/>
          <w:szCs w:val="32"/>
        </w:rPr>
      </w:pPr>
      <w:r>
        <w:rPr>
          <w:rFonts w:ascii="楷体_GB2312" w:hAnsi="楷体_GB2312" w:cs="楷体_GB2312" w:hint="eastAsia" w:eastAsia="楷体_GB2312"/>
          <w:bCs/>
          <w:color w:val="000000"/>
          <w:sz w:val="32"/>
          <w:szCs w:val="32"/>
        </w:rPr>
        <w:t>第五章  法律责任</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Chars="2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 xml:space="preserve">第六章  附 </w:t>
      </w:r>
      <w:r>
        <w:rPr>
          <w:rFonts w:ascii="楷体_GB2312" w:hAnsi="楷体_GB2312" w:cs="楷体_GB2312" w:hint="eastAsia" w:eastAsia="楷体_GB2312"/>
          <w:sz w:val="32"/>
          <w:szCs w:val="32"/>
          <w:lang w:eastAsia="zh"/>
        </w:rPr>
        <w:t xml:space="preserve">  </w:t>
      </w:r>
      <w:r>
        <w:rPr>
          <w:rFonts w:ascii="楷体_GB2312" w:hAnsi="楷体_GB2312" w:cs="楷体_GB2312" w:hint="eastAsia" w:eastAsia="楷体_GB2312"/>
          <w:sz w:val="32"/>
          <w:szCs w:val="32"/>
        </w:rPr>
        <w:t xml:space="preserve"> 则</w:t>
      </w:r>
    </w:p>
    <w:p>
      <w:pPr>
        <w:pStyle w:val="Style17"/>
        <w:keepNext w:val="false"/>
        <w:keepLines w:val="false"/>
        <w:pageBreakBefore w:val="false"/>
        <w:kinsoku w:val="true"/>
        <w:overflowPunct w:val="true"/>
        <w:bidi w:val="0"/>
        <w:snapToGrid w:val="false"/>
        <w:spacing w:lineRule="exact" w:line="600"/>
        <w:ind w:endChars="0" w:end="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keepNext w:val="false"/>
        <w:keepLines w:val="false"/>
        <w:pageBreakBefore w:val="false"/>
        <w:numPr>
          <w:ilvl w:val="0"/>
          <w:numId w:val="1"/>
        </w:numPr>
        <w:kinsoku w:val="true"/>
        <w:overflowPunct w:val="true"/>
        <w:bidi w:val="0"/>
        <w:snapToGrid w:val="false"/>
        <w:spacing w:lineRule="exact" w:line="600"/>
        <w:ind w:firstLineChars="0" w:firstLine="0" w:startChars="0" w:start="0" w:endChars="0" w:end="0"/>
        <w:jc w:val="center"/>
        <w:outlineLvl w:val="1"/>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t xml:space="preserve"> </w:t>
      </w:r>
      <w:r>
        <w:rPr>
          <w:rFonts w:ascii="黑体" w:hAnsi="黑体" w:cs="黑体" w:hint="eastAsia" w:eastAsia="黑体"/>
          <w:b w:val="false"/>
          <w:bCs/>
          <w:color w:val="000000"/>
          <w:sz w:val="32"/>
          <w:szCs w:val="32"/>
        </w:rPr>
        <w:t>总  则</w:t>
      </w:r>
    </w:p>
    <w:p>
      <w:pPr>
        <w:pStyle w:val="TOC2"/>
        <w:keepNext w:val="false"/>
        <w:keepLines w:val="false"/>
        <w:pageBreakBefore w:val="false"/>
        <w:numPr>
          <w:ilvl w:val="0"/>
          <w:numId w:val="0"/>
        </w:numPr>
        <w:kinsoku w:val="true"/>
        <w:overflowPunct w:val="true"/>
        <w:bidi w:val="0"/>
        <w:snapToGrid w:val="false"/>
        <w:spacing w:lineRule="exact" w:line="600"/>
        <w:ind w:hanging="0" w:start="0"/>
        <w:rPr>
          <w:rFonts w:ascii="黑体" w:hAnsi="黑体" w:eastAsia="黑体" w:cs="黑体" w:hint="eastAsia"/>
          <w:b w:val="false"/>
          <w:bCs/>
          <w:color w:val="000000"/>
          <w:sz w:val="28"/>
          <w:szCs w:val="28"/>
          <w:lang w:eastAsia="zh-CN"/>
        </w:rPr>
      </w:pPr>
      <w:r>
        <w:rPr>
          <w:rFonts w:eastAsia="黑体" w:cs="黑体" w:hint="eastAsia" w:ascii="黑体" w:hAnsi="黑体"/>
          <w:b w:val="false"/>
          <w:bCs/>
          <w:color w:val="000000"/>
          <w:sz w:val="28"/>
          <w:szCs w:val="28"/>
          <w:lang w:eastAsia="zh-CN"/>
        </w:rPr>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Chars="200" w:startChars="0" w:start="0" w:endChars="0" w:end="0"/>
        <w:jc w:val="both"/>
        <w:textAlignment w:val="auto"/>
        <w:outlineLvl w:val="2"/>
        <w:rPr>
          <w:rFonts w:ascii="仿宋_GB2312" w:hAnsi="仿宋_GB2312" w:eastAsia="仿宋_GB2312" w:cs="仿宋_GB2312" w:hint="eastAsia"/>
          <w:sz w:val="32"/>
          <w:szCs w:val="32"/>
        </w:rPr>
      </w:pPr>
      <w:bookmarkStart w:id="0" w:name="_Hlk85962248"/>
      <w:r>
        <w:rPr>
          <w:rFonts w:ascii="黑体" w:hAnsi="黑体" w:cs="黑体" w:hint="eastAsia" w:eastAsia="黑体"/>
          <w:b w:val="false"/>
          <w:bCs w:val="false"/>
          <w:sz w:val="32"/>
          <w:szCs w:val="32"/>
        </w:rPr>
        <w:t xml:space="preserve">第一条  </w:t>
      </w:r>
      <w:bookmarkEnd w:id="0"/>
      <w:r>
        <w:rPr>
          <w:rFonts w:ascii="仿宋_GB2312" w:hAnsi="仿宋_GB2312" w:cs="仿宋_GB2312" w:hint="eastAsia"/>
          <w:sz w:val="32"/>
          <w:szCs w:val="32"/>
        </w:rPr>
        <w:t>为保护市场主体合法权益，提升服务市场主体的能力和水平，激发市场主体活力和创造力，</w:t>
      </w:r>
      <w:r>
        <w:rPr>
          <w:rFonts w:ascii="仿宋_GB2312" w:hAnsi="仿宋_GB2312" w:cs="仿宋_GB2312" w:hint="eastAsia"/>
          <w:b w:val="false"/>
          <w:bCs w:val="false"/>
          <w:i w:val="false"/>
          <w:iCs w:val="false"/>
          <w:sz w:val="32"/>
          <w:szCs w:val="32"/>
          <w:u w:val="none"/>
        </w:rPr>
        <w:t>持续优化营商环境，推动经济高质量发展，</w:t>
      </w:r>
      <w:r>
        <w:rPr>
          <w:rFonts w:ascii="仿宋_GB2312" w:hAnsi="仿宋_GB2312" w:cs="仿宋_GB2312" w:hint="eastAsia"/>
          <w:sz w:val="32"/>
          <w:szCs w:val="32"/>
        </w:rPr>
        <w:t>根据</w:t>
      </w:r>
      <w:r>
        <w:rPr>
          <w:rFonts w:ascii="仿宋_GB2312" w:hAnsi="仿宋_GB2312" w:cs="仿宋_GB2312" w:hint="eastAsia"/>
          <w:i w:val="false"/>
          <w:iCs w:val="false"/>
          <w:sz w:val="32"/>
          <w:szCs w:val="32"/>
          <w:u w:val="none"/>
        </w:rPr>
        <w:t>《优化营商环境条例》等有关</w:t>
      </w:r>
      <w:r>
        <w:rPr>
          <w:rFonts w:ascii="仿宋_GB2312" w:hAnsi="仿宋_GB2312" w:cs="仿宋_GB2312" w:hint="eastAsia"/>
          <w:sz w:val="32"/>
          <w:szCs w:val="32"/>
        </w:rPr>
        <w:t>法律法规的规定，结合本市实际，制定本条例。</w:t>
      </w:r>
    </w:p>
    <w:p>
      <w:pPr>
        <w:pStyle w:val="Normal"/>
        <w:keepNext w:val="false"/>
        <w:keepLines w:val="false"/>
        <w:pageBreakBefore w:val="false"/>
        <w:numPr>
          <w:ilvl w:val="0"/>
          <w:numId w:val="0"/>
        </w:numPr>
        <w:kinsoku w:val="true"/>
        <w:overflowPunct w:val="true"/>
        <w:bidi w:val="0"/>
        <w:snapToGrid w:val="false"/>
        <w:spacing w:lineRule="exact" w:line="600"/>
        <w:ind w:firstLineChars="200" w:startChars="0" w:start="0" w:endChars="0" w:end="0"/>
        <w:jc w:val="both"/>
        <w:outlineLvl w:val="2"/>
        <w:rPr>
          <w:rFonts w:ascii="CESI仿宋-GB2312;方正仿宋_GBK" w:hAnsi="CESI仿宋-GB2312;方正仿宋_GBK" w:eastAsia="CESI仿宋-GB2312;方正仿宋_GBK" w:cs="CESI仿宋-GB2312;方正仿宋_GBK" w:hint="eastAsia"/>
          <w:i/>
          <w:iCs/>
          <w:color w:val="000000"/>
          <w:sz w:val="32"/>
          <w:szCs w:val="32"/>
          <w:u w:val="single"/>
        </w:rPr>
      </w:pPr>
      <w:bookmarkStart w:id="1" w:name="_Hlk85962269"/>
      <w:r>
        <w:rPr>
          <w:rFonts w:ascii="黑体" w:hAnsi="黑体" w:cs="黑体" w:hint="eastAsia" w:eastAsia="黑体"/>
          <w:b w:val="false"/>
          <w:bCs w:val="false"/>
          <w:sz w:val="32"/>
          <w:szCs w:val="32"/>
          <w:lang w:eastAsia="zh-CN"/>
        </w:rPr>
        <w:t>第二条</w:t>
      </w:r>
      <w:r>
        <w:rPr>
          <w:rFonts w:ascii="黑体" w:hAnsi="黑体" w:cs="黑体" w:hint="eastAsia" w:eastAsia="黑体"/>
          <w:b w:val="false"/>
          <w:bCs w:val="false"/>
          <w:sz w:val="32"/>
          <w:szCs w:val="32"/>
        </w:rPr>
        <w:t xml:space="preserve">  </w:t>
      </w:r>
      <w:r>
        <w:rPr>
          <w:rFonts w:ascii="仿宋_GB2312" w:hAnsi="仿宋_GB2312" w:cs="仿宋_GB2312" w:hint="eastAsia"/>
          <w:sz w:val="32"/>
          <w:szCs w:val="32"/>
        </w:rPr>
        <w:t>本条例适用于对本市行政区域内市场主体的政务服务、公共服务和法治保障等工作。</w:t>
      </w:r>
      <w:bookmarkEnd w:id="1"/>
    </w:p>
    <w:p>
      <w:pPr>
        <w:pStyle w:val="Normal"/>
        <w:keepNext w:val="false"/>
        <w:keepLines w:val="false"/>
        <w:pageBreakBefore w:val="false"/>
        <w:numPr>
          <w:ilvl w:val="0"/>
          <w:numId w:val="0"/>
        </w:numPr>
        <w:kinsoku w:val="true"/>
        <w:overflowPunct w:val="true"/>
        <w:bidi w:val="0"/>
        <w:snapToGrid w:val="false"/>
        <w:spacing w:lineRule="exact" w:line="600"/>
        <w:ind w:firstLineChars="200" w:startChars="0" w:start="0" w:endChars="0" w:end="0"/>
        <w:jc w:val="both"/>
        <w:outlineLvl w:val="2"/>
        <w:rPr>
          <w:rFonts w:ascii="仿宋_GB2312" w:hAnsi="仿宋_GB2312" w:eastAsia="仿宋_GB2312" w:cs="仿宋_GB2312" w:hint="eastAsia"/>
          <w:color w:val="000000"/>
          <w:sz w:val="32"/>
          <w:szCs w:val="32"/>
        </w:rPr>
      </w:pPr>
      <w:bookmarkStart w:id="2" w:name="_Hlk85962436"/>
      <w:r>
        <w:rPr>
          <w:rFonts w:ascii="黑体" w:hAnsi="黑体" w:cs="黑体" w:hint="eastAsia" w:eastAsia="黑体"/>
          <w:b w:val="false"/>
          <w:bCs w:val="false"/>
          <w:color w:val="000000"/>
          <w:sz w:val="32"/>
          <w:szCs w:val="32"/>
        </w:rPr>
        <w:t xml:space="preserve">第三条  </w:t>
      </w:r>
      <w:r>
        <w:rPr>
          <w:rFonts w:ascii="仿宋_GB2312" w:hAnsi="仿宋_GB2312" w:cs="仿宋_GB2312" w:hint="eastAsia"/>
          <w:color w:val="000000"/>
          <w:sz w:val="32"/>
          <w:szCs w:val="32"/>
        </w:rPr>
        <w:t>市场主体服务应当</w:t>
      </w:r>
      <w:r>
        <w:rPr>
          <w:rFonts w:ascii="仿宋_GB2312" w:hAnsi="仿宋_GB2312" w:cs="仿宋_GB2312" w:hint="eastAsia"/>
          <w:i w:val="false"/>
          <w:iCs w:val="false"/>
          <w:color w:val="000000"/>
          <w:sz w:val="32"/>
          <w:szCs w:val="32"/>
          <w:u w:val="none"/>
        </w:rPr>
        <w:t>遵循依法规范、</w:t>
      </w:r>
      <w:r>
        <w:rPr>
          <w:rFonts w:ascii="仿宋_GB2312" w:hAnsi="仿宋_GB2312" w:cs="仿宋_GB2312" w:hint="eastAsia"/>
          <w:color w:val="000000"/>
          <w:sz w:val="32"/>
          <w:szCs w:val="32"/>
        </w:rPr>
        <w:t>公开透明、诚实守信、便捷高效</w:t>
      </w:r>
      <w:r>
        <w:rPr>
          <w:rFonts w:ascii="仿宋_GB2312" w:hAnsi="仿宋_GB2312" w:cs="仿宋_GB2312" w:hint="eastAsia"/>
          <w:i w:val="false"/>
          <w:iCs w:val="false"/>
          <w:color w:val="000000"/>
          <w:sz w:val="32"/>
          <w:szCs w:val="32"/>
          <w:u w:val="none"/>
        </w:rPr>
        <w:t>的原则</w:t>
      </w:r>
      <w:r>
        <w:rPr>
          <w:rFonts w:ascii="仿宋_GB2312" w:hAnsi="仿宋_GB2312" w:cs="仿宋_GB2312" w:hint="eastAsia"/>
          <w:i w:val="false"/>
          <w:iCs w:val="false"/>
          <w:color w:val="000000"/>
          <w:sz w:val="32"/>
          <w:szCs w:val="32"/>
        </w:rPr>
        <w:t>，维护公开、公平、公正的市场秩序</w:t>
      </w:r>
      <w:r>
        <w:rPr>
          <w:rFonts w:ascii="仿宋_GB2312" w:hAnsi="仿宋_GB2312" w:cs="仿宋_GB2312" w:hint="eastAsia"/>
          <w:color w:val="000000"/>
          <w:sz w:val="32"/>
          <w:szCs w:val="32"/>
        </w:rPr>
        <w:t>。</w:t>
      </w:r>
      <w:bookmarkEnd w:id="2"/>
    </w:p>
    <w:p>
      <w:pPr>
        <w:pStyle w:val="TOC2"/>
        <w:keepNext w:val="false"/>
        <w:keepLines w:val="false"/>
        <w:pageBreakBefore w:val="false"/>
        <w:kinsoku w:val="true"/>
        <w:overflowPunct w:val="true"/>
        <w:bidi w:val="0"/>
        <w:snapToGrid w:val="false"/>
        <w:spacing w:lineRule="exact" w:line="600"/>
        <w:ind w:firstLineChars="200" w:startChars="0" w:start="0" w:endChars="0" w:end="0"/>
        <w:jc w:val="both"/>
        <w:rPr>
          <w:rFonts w:ascii="仿宋_GB2312" w:hAnsi="仿宋_GB2312" w:eastAsia="仿宋_GB2312" w:cs="仿宋_GB2312" w:hint="eastAsia"/>
          <w:sz w:val="32"/>
          <w:szCs w:val="32"/>
        </w:rPr>
      </w:pPr>
      <w:bookmarkStart w:id="3" w:name="_Hlk85962455"/>
      <w:r>
        <w:rPr>
          <w:rFonts w:ascii="黑体" w:hAnsi="黑体" w:cs="黑体" w:hint="eastAsia" w:eastAsia="黑体"/>
          <w:b w:val="false"/>
          <w:bCs w:val="false"/>
          <w:color w:val="000000"/>
          <w:kern w:val="2"/>
          <w:sz w:val="32"/>
          <w:szCs w:val="32"/>
        </w:rPr>
        <w:t>第四条</w:t>
      </w:r>
      <w:r>
        <w:rPr>
          <w:rFonts w:ascii="仿宋_GB2312" w:hAnsi="仿宋_GB2312" w:cs="仿宋_GB2312" w:hint="eastAsia"/>
          <w:b w:val="false"/>
          <w:bCs w:val="false"/>
          <w:sz w:val="32"/>
          <w:szCs w:val="32"/>
        </w:rPr>
        <w:t xml:space="preserve">  </w:t>
      </w:r>
      <w:r>
        <w:rPr>
          <w:rFonts w:ascii="仿宋_GB2312" w:hAnsi="仿宋_GB2312" w:cs="仿宋_GB2312" w:hint="eastAsia"/>
          <w:sz w:val="32"/>
          <w:szCs w:val="32"/>
        </w:rPr>
        <w:t>市、区人民政府应当建立市场主体服务工作统筹协调机制，密切与市场主体的联系，增强为市场主体提供优质服务的能力，提升服务市场主体数字化、智能化</w:t>
      </w:r>
      <w:r>
        <w:rPr>
          <w:rFonts w:ascii="仿宋_GB2312" w:hAnsi="仿宋_GB2312" w:cs="仿宋_GB2312" w:hint="eastAsia"/>
          <w:i w:val="false"/>
          <w:iCs w:val="false"/>
          <w:sz w:val="32"/>
          <w:szCs w:val="32"/>
        </w:rPr>
        <w:t>的</w:t>
      </w:r>
      <w:r>
        <w:rPr>
          <w:rFonts w:ascii="仿宋_GB2312" w:hAnsi="仿宋_GB2312" w:cs="仿宋_GB2312" w:hint="eastAsia"/>
          <w:sz w:val="32"/>
          <w:szCs w:val="32"/>
        </w:rPr>
        <w:t>水平。</w:t>
      </w:r>
    </w:p>
    <w:p>
      <w:pPr>
        <w:pStyle w:val="Normal"/>
        <w:keepNext w:val="false"/>
        <w:keepLines w:val="false"/>
        <w:pageBreakBefore w:val="false"/>
        <w:kinsoku w:val="true"/>
        <w:overflowPunct w:val="true"/>
        <w:bidi w:val="0"/>
        <w:snapToGrid w:val="false"/>
        <w:spacing w:lineRule="exact" w:line="600"/>
        <w:ind w:firstLineChars="200" w:startChars="0" w:start="0" w:endChars="0" w:end="0"/>
        <w:jc w:val="both"/>
        <w:rPr>
          <w:rFonts w:ascii="仿宋_GB2312" w:hAnsi="仿宋_GB2312" w:eastAsia="仿宋_GB2312" w:cs="仿宋_GB2312" w:hint="eastAsia"/>
          <w:sz w:val="32"/>
          <w:szCs w:val="32"/>
        </w:rPr>
      </w:pPr>
      <w:bookmarkEnd w:id="3"/>
      <w:r>
        <w:rPr>
          <w:rFonts w:ascii="仿宋_GB2312" w:hAnsi="仿宋_GB2312" w:cs="仿宋_GB2312" w:hint="eastAsia"/>
          <w:sz w:val="32"/>
          <w:szCs w:val="32"/>
          <w:lang w:eastAsia="zh-CN"/>
        </w:rPr>
        <w:t>发展改革、</w:t>
      </w:r>
      <w:r>
        <w:rPr>
          <w:rFonts w:ascii="仿宋_GB2312" w:hAnsi="仿宋_GB2312" w:cs="仿宋_GB2312" w:hint="eastAsia"/>
          <w:sz w:val="32"/>
          <w:szCs w:val="32"/>
        </w:rPr>
        <w:t>科学技术、公安、工业和信息化、司法行政、财政、人力资源和社会保障、自然资源、交通运输、住房和城乡建设、商务、</w:t>
      </w:r>
      <w:r>
        <w:rPr>
          <w:rFonts w:ascii="仿宋_GB2312" w:hAnsi="仿宋_GB2312" w:cs="仿宋_GB2312" w:hint="eastAsia"/>
          <w:sz w:val="32"/>
          <w:szCs w:val="32"/>
          <w:lang w:eastAsia="zh-CN"/>
        </w:rPr>
        <w:t>市场监督管理、金融、政务服务数据管理、税务等部门按照各自职责</w:t>
      </w:r>
      <w:r>
        <w:rPr>
          <w:rFonts w:ascii="仿宋_GB2312" w:hAnsi="仿宋_GB2312" w:cs="仿宋_GB2312" w:hint="eastAsia"/>
          <w:sz w:val="32"/>
          <w:szCs w:val="32"/>
        </w:rPr>
        <w:t>分工</w:t>
      </w:r>
      <w:r>
        <w:rPr>
          <w:rFonts w:ascii="仿宋_GB2312" w:hAnsi="仿宋_GB2312" w:cs="仿宋_GB2312" w:hint="eastAsia"/>
          <w:sz w:val="32"/>
          <w:szCs w:val="32"/>
          <w:lang w:eastAsia="zh-CN"/>
        </w:rPr>
        <w:t>，做好</w:t>
      </w:r>
      <w:r>
        <w:rPr>
          <w:rFonts w:ascii="仿宋_GB2312" w:hAnsi="仿宋_GB2312" w:cs="仿宋_GB2312" w:hint="eastAsia"/>
          <w:sz w:val="32"/>
          <w:szCs w:val="32"/>
        </w:rPr>
        <w:t>服务市场主体相关</w:t>
      </w:r>
      <w:r>
        <w:rPr>
          <w:rFonts w:ascii="仿宋_GB2312" w:hAnsi="仿宋_GB2312" w:cs="仿宋_GB2312" w:hint="eastAsia"/>
          <w:sz w:val="32"/>
          <w:szCs w:val="32"/>
          <w:lang w:eastAsia="zh-CN"/>
        </w:rPr>
        <w:t>工作。</w:t>
      </w:r>
    </w:p>
    <w:p>
      <w:pPr>
        <w:pStyle w:val="Normal"/>
        <w:keepNext w:val="false"/>
        <w:keepLines w:val="false"/>
        <w:pageBreakBefore w:val="false"/>
        <w:numPr>
          <w:ilvl w:val="0"/>
          <w:numId w:val="0"/>
        </w:numPr>
        <w:shd w:fill="FFFFFF" w:val="clear"/>
        <w:kinsoku w:val="true"/>
        <w:overflowPunct w:val="true"/>
        <w:bidi w:val="0"/>
        <w:snapToGrid w:val="false"/>
        <w:spacing w:lineRule="exact" w:line="600"/>
        <w:ind w:firstLineChars="200" w:startChars="0" w:start="0" w:endChars="0" w:end="0"/>
        <w:jc w:val="both"/>
        <w:textAlignment w:val="baseline"/>
        <w:outlineLvl w:val="2"/>
        <w:rPr>
          <w:rFonts w:ascii="仿宋_GB2312" w:hAnsi="仿宋_GB2312" w:eastAsia="仿宋_GB2312" w:cs="仿宋_GB2312" w:hint="eastAsia"/>
          <w:sz w:val="32"/>
          <w:szCs w:val="32"/>
          <w:lang w:eastAsia="zh-CN"/>
        </w:rPr>
      </w:pPr>
      <w:bookmarkStart w:id="4" w:name="_Hlk85962907"/>
      <w:bookmarkStart w:id="5" w:name="_Hlk85962947"/>
      <w:r>
        <w:rPr>
          <w:rFonts w:ascii="黑体" w:hAnsi="黑体" w:cs="黑体" w:hint="eastAsia" w:eastAsia="黑体"/>
          <w:b w:val="false"/>
          <w:bCs w:val="false"/>
          <w:i w:val="false"/>
          <w:iCs w:val="false"/>
          <w:sz w:val="32"/>
          <w:szCs w:val="32"/>
          <w:u w:val="none"/>
        </w:rPr>
        <w:t xml:space="preserve">第五条  </w:t>
      </w:r>
      <w:bookmarkEnd w:id="5"/>
      <w:r>
        <w:rPr>
          <w:rFonts w:ascii="仿宋_GB2312" w:hAnsi="仿宋_GB2312" w:cs="仿宋_GB2312" w:hint="eastAsia"/>
          <w:sz w:val="32"/>
          <w:szCs w:val="32"/>
          <w:lang w:eastAsia="zh-CN"/>
        </w:rPr>
        <w:t>市、区人民政府及其</w:t>
      </w:r>
      <w:r>
        <w:rPr>
          <w:rFonts w:ascii="仿宋_GB2312" w:hAnsi="仿宋_GB2312" w:cs="仿宋_GB2312" w:hint="eastAsia"/>
          <w:sz w:val="32"/>
          <w:szCs w:val="32"/>
        </w:rPr>
        <w:t>有关</w:t>
      </w:r>
      <w:r>
        <w:rPr>
          <w:rFonts w:ascii="仿宋_GB2312" w:hAnsi="仿宋_GB2312" w:cs="仿宋_GB2312" w:hint="eastAsia"/>
          <w:sz w:val="32"/>
          <w:szCs w:val="32"/>
          <w:lang w:eastAsia="zh-CN"/>
        </w:rPr>
        <w:t>部门</w:t>
      </w:r>
      <w:r>
        <w:rPr>
          <w:rFonts w:ascii="仿宋_GB2312" w:hAnsi="仿宋_GB2312" w:cs="仿宋_GB2312" w:hint="eastAsia"/>
          <w:sz w:val="32"/>
          <w:szCs w:val="32"/>
        </w:rPr>
        <w:t>可以</w:t>
      </w:r>
      <w:r>
        <w:rPr>
          <w:rFonts w:ascii="仿宋_GB2312" w:hAnsi="仿宋_GB2312" w:cs="仿宋_GB2312" w:hint="eastAsia"/>
          <w:sz w:val="32"/>
          <w:szCs w:val="32"/>
          <w:lang w:eastAsia="zh-CN"/>
        </w:rPr>
        <w:t>结合实际情况，在法治框架内积极探索</w:t>
      </w:r>
      <w:r>
        <w:rPr>
          <w:rFonts w:ascii="仿宋_GB2312" w:hAnsi="仿宋_GB2312" w:cs="仿宋_GB2312" w:hint="eastAsia"/>
          <w:sz w:val="32"/>
          <w:szCs w:val="32"/>
        </w:rPr>
        <w:t>服务市场主体的改革举措和提升</w:t>
      </w:r>
      <w:r>
        <w:rPr>
          <w:rFonts w:ascii="仿宋_GB2312" w:hAnsi="仿宋_GB2312" w:cs="仿宋_GB2312" w:hint="eastAsia"/>
          <w:sz w:val="32"/>
          <w:szCs w:val="32"/>
          <w:lang w:eastAsia="zh-CN"/>
        </w:rPr>
        <w:t>服务水平的具体措施。对探索中出现失误或者偏差，</w:t>
      </w:r>
      <w:r>
        <w:rPr>
          <w:rFonts w:ascii="仿宋_GB2312" w:hAnsi="仿宋_GB2312" w:cs="仿宋_GB2312" w:hint="eastAsia"/>
          <w:sz w:val="32"/>
          <w:szCs w:val="32"/>
        </w:rPr>
        <w:t>但符合规定条件的</w:t>
      </w:r>
      <w:r>
        <w:rPr>
          <w:rFonts w:ascii="仿宋_GB2312" w:hAnsi="仿宋_GB2312" w:cs="仿宋_GB2312" w:hint="eastAsia"/>
          <w:sz w:val="32"/>
          <w:szCs w:val="32"/>
          <w:lang w:eastAsia="zh-CN"/>
        </w:rPr>
        <w:t>，</w:t>
      </w:r>
      <w:r>
        <w:rPr>
          <w:rFonts w:ascii="仿宋_GB2312" w:hAnsi="仿宋_GB2312" w:cs="仿宋_GB2312" w:hint="eastAsia"/>
          <w:sz w:val="32"/>
          <w:szCs w:val="32"/>
        </w:rPr>
        <w:t>可以</w:t>
      </w:r>
      <w:r>
        <w:rPr>
          <w:rFonts w:ascii="仿宋_GB2312" w:hAnsi="仿宋_GB2312" w:cs="仿宋_GB2312" w:hint="eastAsia"/>
          <w:sz w:val="32"/>
          <w:szCs w:val="32"/>
          <w:lang w:eastAsia="zh-CN"/>
        </w:rPr>
        <w:t>予以免</w:t>
      </w:r>
      <w:r>
        <w:rPr>
          <w:rFonts w:ascii="仿宋_GB2312" w:hAnsi="仿宋_GB2312" w:cs="仿宋_GB2312" w:hint="eastAsia"/>
          <w:sz w:val="32"/>
          <w:szCs w:val="32"/>
        </w:rPr>
        <w:t>责</w:t>
      </w:r>
      <w:r>
        <w:rPr>
          <w:rFonts w:ascii="仿宋_GB2312" w:hAnsi="仿宋_GB2312" w:cs="仿宋_GB2312" w:hint="eastAsia"/>
          <w:sz w:val="32"/>
          <w:szCs w:val="32"/>
          <w:lang w:eastAsia="zh-CN"/>
        </w:rPr>
        <w:t>或者减轻责任。</w:t>
      </w:r>
    </w:p>
    <w:p>
      <w:pPr>
        <w:pStyle w:val="TOC2"/>
        <w:keepNext w:val="false"/>
        <w:keepLines w:val="false"/>
        <w:pageBreakBefore w:val="false"/>
        <w:kinsoku w:val="true"/>
        <w:overflowPunct w:val="true"/>
        <w:bidi w:val="0"/>
        <w:snapToGrid w:val="false"/>
        <w:spacing w:lineRule="exact" w:line="600"/>
        <w:ind w:firstLineChars="200" w:startChars="0" w:start="0" w:endChars="0" w:end="0"/>
        <w:jc w:val="both"/>
        <w:rPr>
          <w:rFonts w:ascii="仿宋_GB2312" w:hAnsi="仿宋_GB2312" w:eastAsia="仿宋_GB2312" w:cs="仿宋_GB2312" w:hint="eastAsia"/>
          <w:i/>
          <w:iCs/>
          <w:sz w:val="32"/>
          <w:szCs w:val="32"/>
          <w:u w:val="single"/>
        </w:rPr>
      </w:pPr>
      <w:r>
        <w:rPr>
          <w:rFonts w:ascii="黑体" w:hAnsi="黑体" w:cs="黑体" w:hint="eastAsia" w:eastAsia="黑体"/>
          <w:b w:val="false"/>
          <w:bCs w:val="false"/>
          <w:sz w:val="32"/>
          <w:szCs w:val="32"/>
        </w:rPr>
        <w:t>第</w:t>
      </w:r>
      <w:r>
        <w:rPr>
          <w:rFonts w:ascii="黑体" w:hAnsi="黑体" w:cs="黑体" w:hint="eastAsia" w:eastAsia="黑体"/>
          <w:b w:val="false"/>
          <w:bCs w:val="false"/>
          <w:i w:val="false"/>
          <w:iCs w:val="false"/>
          <w:sz w:val="32"/>
          <w:szCs w:val="32"/>
          <w:u w:val="none"/>
        </w:rPr>
        <w:t>六</w:t>
      </w:r>
      <w:r>
        <w:rPr>
          <w:rFonts w:ascii="黑体" w:hAnsi="黑体" w:cs="黑体" w:hint="eastAsia" w:eastAsia="黑体"/>
          <w:b w:val="false"/>
          <w:bCs w:val="false"/>
          <w:sz w:val="32"/>
          <w:szCs w:val="32"/>
        </w:rPr>
        <w:t xml:space="preserve">条  </w:t>
      </w:r>
      <w:r>
        <w:rPr>
          <w:rFonts w:ascii="仿宋_GB2312" w:hAnsi="仿宋_GB2312" w:cs="仿宋_GB2312" w:hint="eastAsia"/>
          <w:sz w:val="32"/>
          <w:szCs w:val="32"/>
        </w:rPr>
        <w:t>市人民政府应当营造一流营商环境，每年定期组织开展市场主体服务体系的考评工作。</w:t>
      </w:r>
    </w:p>
    <w:p>
      <w:pPr>
        <w:pStyle w:val="TOC2"/>
        <w:keepNext w:val="false"/>
        <w:keepLines w:val="false"/>
        <w:pageBreakBefore w:val="false"/>
        <w:kinsoku w:val="true"/>
        <w:overflowPunct w:val="true"/>
        <w:bidi w:val="0"/>
        <w:snapToGrid w:val="false"/>
        <w:spacing w:lineRule="exact" w:line="60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color w:val="000000"/>
          <w:sz w:val="32"/>
          <w:szCs w:val="32"/>
        </w:rPr>
        <w:t>市、区人民政府及其有关部门应当</w:t>
      </w:r>
      <w:r>
        <w:rPr>
          <w:rFonts w:ascii="仿宋_GB2312" w:hAnsi="仿宋_GB2312" w:cs="仿宋_GB2312" w:hint="eastAsia"/>
          <w:sz w:val="32"/>
          <w:szCs w:val="32"/>
        </w:rPr>
        <w:t>建立舆情收集和回应机制，</w:t>
      </w:r>
      <w:r>
        <w:rPr>
          <w:rFonts w:ascii="仿宋_GB2312" w:hAnsi="仿宋_GB2312" w:cs="仿宋_GB2312" w:hint="eastAsia"/>
          <w:color w:val="000000"/>
          <w:sz w:val="32"/>
          <w:szCs w:val="32"/>
        </w:rPr>
        <w:t>支持新闻媒体客观、公正</w:t>
      </w:r>
      <w:r>
        <w:rPr>
          <w:rFonts w:ascii="仿宋_GB2312" w:hAnsi="仿宋_GB2312" w:cs="仿宋_GB2312" w:hint="eastAsia"/>
          <w:sz w:val="32"/>
          <w:szCs w:val="32"/>
        </w:rPr>
        <w:t>地对市场主体服务进行舆论监督。</w:t>
      </w:r>
    </w:p>
    <w:p>
      <w:pPr>
        <w:pStyle w:val="Normal"/>
        <w:keepNext w:val="false"/>
        <w:keepLines w:val="false"/>
        <w:pageBreakBefore w:val="false"/>
        <w:widowControl/>
        <w:kinsoku w:val="true"/>
        <w:overflowPunct w:val="true"/>
        <w:bidi w:val="0"/>
        <w:snapToGrid w:val="false"/>
        <w:spacing w:lineRule="exact" w:line="600"/>
        <w:ind w:firstLineChars="200" w:startChars="0" w:start="0" w:endChars="0" w:end="0"/>
        <w:jc w:val="both"/>
        <w:rPr>
          <w:rFonts w:ascii="仿宋_GB2312" w:hAnsi="仿宋_GB2312" w:eastAsia="仿宋_GB2312" w:cs="仿宋_GB2312" w:hint="eastAsia"/>
          <w:sz w:val="32"/>
          <w:szCs w:val="32"/>
          <w:lang w:eastAsia="zh-CN"/>
        </w:rPr>
      </w:pPr>
      <w:r>
        <w:rPr>
          <w:rFonts w:ascii="仿宋_GB2312" w:hAnsi="仿宋_GB2312" w:cs="仿宋_GB2312" w:hint="eastAsia"/>
          <w:sz w:val="32"/>
          <w:szCs w:val="32"/>
        </w:rPr>
        <w:t>市、区人民政府可以聘请专家学者、行业协会商会负责人、市场主体代表和媒体记者等</w:t>
      </w:r>
      <w:r>
        <w:rPr>
          <w:rFonts w:ascii="仿宋_GB2312" w:hAnsi="仿宋_GB2312" w:cs="仿宋_GB2312" w:hint="eastAsia"/>
          <w:sz w:val="32"/>
          <w:szCs w:val="32"/>
          <w:lang w:eastAsia="zh-CN"/>
        </w:rPr>
        <w:t>担任</w:t>
      </w:r>
      <w:r>
        <w:rPr>
          <w:rFonts w:ascii="仿宋_GB2312" w:hAnsi="仿宋_GB2312" w:cs="仿宋_GB2312" w:hint="eastAsia"/>
          <w:sz w:val="32"/>
          <w:szCs w:val="32"/>
        </w:rPr>
        <w:t>社会</w:t>
      </w:r>
      <w:r>
        <w:rPr>
          <w:rFonts w:ascii="仿宋_GB2312" w:hAnsi="仿宋_GB2312" w:cs="仿宋_GB2312" w:hint="eastAsia"/>
          <w:sz w:val="32"/>
          <w:szCs w:val="32"/>
          <w:lang w:eastAsia="zh-CN"/>
        </w:rPr>
        <w:t>监督员。社会监督员应当</w:t>
      </w:r>
      <w:r>
        <w:rPr>
          <w:rFonts w:ascii="仿宋_GB2312" w:hAnsi="仿宋_GB2312" w:cs="仿宋_GB2312" w:hint="eastAsia"/>
          <w:sz w:val="32"/>
          <w:szCs w:val="32"/>
        </w:rPr>
        <w:t>依法</w:t>
      </w:r>
      <w:r>
        <w:rPr>
          <w:rFonts w:ascii="仿宋_GB2312" w:hAnsi="仿宋_GB2312" w:cs="仿宋_GB2312" w:hint="eastAsia"/>
          <w:sz w:val="32"/>
          <w:szCs w:val="32"/>
          <w:lang w:eastAsia="zh-CN"/>
        </w:rPr>
        <w:t>搜集、反馈社会各界对</w:t>
      </w:r>
      <w:r>
        <w:rPr>
          <w:rFonts w:ascii="仿宋_GB2312" w:hAnsi="仿宋_GB2312" w:cs="仿宋_GB2312" w:hint="eastAsia"/>
          <w:sz w:val="32"/>
          <w:szCs w:val="32"/>
        </w:rPr>
        <w:t>市场主体服务</w:t>
      </w:r>
      <w:r>
        <w:rPr>
          <w:rFonts w:ascii="仿宋_GB2312" w:hAnsi="仿宋_GB2312" w:cs="仿宋_GB2312" w:hint="eastAsia"/>
          <w:sz w:val="32"/>
          <w:szCs w:val="32"/>
          <w:lang w:eastAsia="zh-CN"/>
        </w:rPr>
        <w:t>工作的意见建议，客观</w:t>
      </w:r>
      <w:r>
        <w:rPr>
          <w:rFonts w:ascii="仿宋_GB2312" w:hAnsi="仿宋_GB2312" w:cs="仿宋_GB2312" w:hint="eastAsia"/>
          <w:sz w:val="32"/>
          <w:szCs w:val="32"/>
        </w:rPr>
        <w:t>、</w:t>
      </w:r>
      <w:r>
        <w:rPr>
          <w:rFonts w:ascii="仿宋_GB2312" w:hAnsi="仿宋_GB2312" w:cs="仿宋_GB2312" w:hint="eastAsia"/>
          <w:sz w:val="32"/>
          <w:szCs w:val="32"/>
          <w:lang w:eastAsia="zh-CN"/>
        </w:rPr>
        <w:t>公正地提出监督、评价意见。各级人民政府及其有关部门应当接受社会监督员的监督，及时整改查实的问题。</w:t>
      </w:r>
    </w:p>
    <w:p>
      <w:pPr>
        <w:pStyle w:val="Normal"/>
        <w:keepNext w:val="false"/>
        <w:keepLines w:val="false"/>
        <w:pageBreakBefore w:val="false"/>
        <w:kinsoku w:val="true"/>
        <w:overflowPunct w:val="true"/>
        <w:bidi w:val="0"/>
        <w:snapToGrid w:val="false"/>
        <w:spacing w:lineRule="exact" w:line="600"/>
        <w:ind w:firstLineChars="200" w:startChars="0" w:start="0" w:endChars="0" w:end="0"/>
        <w:rPr>
          <w:rFonts w:ascii="楷体_GB2312" w:hAnsi="楷体_GB2312" w:eastAsia="楷体_GB2312" w:cs="楷体_GB2312" w:hint="eastAsia"/>
          <w:color w:val="000000"/>
          <w:sz w:val="24"/>
          <w:szCs w:val="32"/>
          <w:lang w:eastAsia="zh-CN"/>
        </w:rPr>
      </w:pPr>
      <w:r>
        <w:rPr>
          <w:rFonts w:eastAsia="楷体_GB2312" w:cs="楷体_GB2312" w:hint="eastAsia" w:ascii="楷体_GB2312" w:hAnsi="楷体_GB2312"/>
          <w:color w:val="000000"/>
          <w:sz w:val="24"/>
          <w:szCs w:val="32"/>
          <w:lang w:eastAsia="zh-CN"/>
        </w:rPr>
      </w:r>
      <w:bookmarkEnd w:id="4"/>
    </w:p>
    <w:p>
      <w:pPr>
        <w:pStyle w:val="Normal"/>
        <w:keepNext w:val="false"/>
        <w:keepLines w:val="false"/>
        <w:pageBreakBefore w:val="false"/>
        <w:numPr>
          <w:ilvl w:val="0"/>
          <w:numId w:val="1"/>
        </w:numPr>
        <w:kinsoku w:val="true"/>
        <w:overflowPunct w:val="true"/>
        <w:bidi w:val="0"/>
        <w:snapToGrid w:val="false"/>
        <w:spacing w:lineRule="exact" w:line="600"/>
        <w:ind w:firstLineChars="0" w:firstLine="0" w:startChars="0" w:start="0" w:endChars="0" w:end="0"/>
        <w:jc w:val="center"/>
        <w:outlineLvl w:val="1"/>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政务服务</w:t>
      </w:r>
    </w:p>
    <w:p>
      <w:pPr>
        <w:pStyle w:val="TOC2"/>
        <w:keepNext w:val="false"/>
        <w:keepLines w:val="false"/>
        <w:pageBreakBefore w:val="false"/>
        <w:numPr>
          <w:ilvl w:val="0"/>
          <w:numId w:val="0"/>
        </w:numPr>
        <w:kinsoku w:val="true"/>
        <w:overflowPunct w:val="true"/>
        <w:bidi w:val="0"/>
        <w:snapToGrid w:val="false"/>
        <w:spacing w:lineRule="exact" w:line="600"/>
        <w:ind w:firstLineChars="0" w:firstLine="0" w:startChars="0" w:start="0" w:endChars="0" w:end="0"/>
        <w:rPr>
          <w:rFonts w:ascii="黑体" w:hAnsi="黑体" w:eastAsia="黑体" w:cs="黑体" w:hint="eastAsia"/>
          <w:sz w:val="28"/>
          <w:szCs w:val="28"/>
        </w:rPr>
      </w:pPr>
      <w:r>
        <w:rPr>
          <w:rFonts w:eastAsia="黑体" w:cs="黑体" w:hint="eastAsia" w:ascii="黑体" w:hAnsi="黑体"/>
          <w:sz w:val="28"/>
          <w:szCs w:val="28"/>
        </w:rPr>
      </w:r>
    </w:p>
    <w:p>
      <w:pPr>
        <w:pStyle w:val="Normal"/>
        <w:keepNext w:val="false"/>
        <w:keepLines w:val="false"/>
        <w:pageBreakBefore w:val="false"/>
        <w:kinsoku w:val="true"/>
        <w:overflowPunct w:val="true"/>
        <w:bidi w:val="0"/>
        <w:snapToGrid w:val="false"/>
        <w:spacing w:lineRule="exact" w:line="600"/>
        <w:ind w:firstLine="640" w:end="0"/>
        <w:jc w:val="both"/>
        <w:rPr>
          <w:rFonts w:ascii="仿宋_GB2312" w:hAnsi="仿宋_GB2312" w:eastAsia="仿宋_GB2312" w:cs="仿宋_GB2312" w:hint="eastAsia"/>
          <w:i w:val="false"/>
          <w:iCs w:val="false"/>
          <w:sz w:val="32"/>
          <w:szCs w:val="32"/>
          <w:u w:val="none"/>
        </w:rPr>
      </w:pPr>
      <w:r>
        <w:rPr>
          <w:rFonts w:ascii="黑体" w:hAnsi="黑体" w:cs="黑体" w:hint="eastAsia" w:eastAsia="黑体"/>
          <w:b w:val="false"/>
          <w:bCs w:val="false"/>
          <w:sz w:val="32"/>
          <w:szCs w:val="32"/>
        </w:rPr>
        <w:t xml:space="preserve">第七条  </w:t>
      </w:r>
      <w:r>
        <w:rPr>
          <w:rFonts w:ascii="仿宋_GB2312" w:hAnsi="仿宋_GB2312" w:cs="仿宋_GB2312" w:hint="eastAsia"/>
          <w:b w:val="false"/>
          <w:bCs w:val="false"/>
          <w:i w:val="false"/>
          <w:iCs w:val="false"/>
          <w:sz w:val="32"/>
          <w:szCs w:val="32"/>
          <w:u w:val="none"/>
        </w:rPr>
        <w:t>市、区人民政府及其有关部门</w:t>
      </w:r>
      <w:r>
        <w:rPr>
          <w:rFonts w:ascii="仿宋_GB2312" w:hAnsi="仿宋_GB2312" w:cs="仿宋_GB2312" w:hint="eastAsia"/>
          <w:i w:val="false"/>
          <w:iCs w:val="false"/>
          <w:sz w:val="32"/>
          <w:szCs w:val="32"/>
          <w:u w:val="none"/>
        </w:rPr>
        <w:t>应当推行政务服务改革，实现政务服务标准化、规范化、便利化，提升政务服务效能，为市场主体提供高效透明的政务服务；完善政务服务代办体系建设，为符合条件的市场主体提供审批代办等政务服务。</w:t>
      </w:r>
    </w:p>
    <w:p>
      <w:pPr>
        <w:pStyle w:val="TOC2"/>
        <w:keepNext w:val="false"/>
        <w:keepLines w:val="false"/>
        <w:pageBreakBefore w:val="false"/>
        <w:kinsoku w:val="true"/>
        <w:overflowPunct w:val="true"/>
        <w:bidi w:val="0"/>
        <w:snapToGrid w:val="false"/>
        <w:spacing w:lineRule="exact" w:line="60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i w:val="false"/>
          <w:iCs w:val="false"/>
          <w:kern w:val="2"/>
          <w:sz w:val="32"/>
          <w:szCs w:val="32"/>
          <w:u w:val="none"/>
        </w:rPr>
        <w:t>市、区人民政府应当制定市场主体最多只需要到综合性实体服务大厅办理一次的政务服务事项清单，清单事项应当</w:t>
      </w:r>
      <w:r>
        <w:rPr>
          <w:rFonts w:ascii="仿宋_GB2312" w:hAnsi="仿宋_GB2312" w:cs="仿宋_GB2312" w:hint="eastAsia"/>
          <w:sz w:val="32"/>
          <w:szCs w:val="32"/>
        </w:rPr>
        <w:t>实现一网通办，申报材料一次采集，办理工作一步办结；加强智能审批、电子证照、电子签名等新技术的推广应用。</w:t>
      </w:r>
    </w:p>
    <w:p>
      <w:pPr>
        <w:pStyle w:val="Normal"/>
        <w:keepNext w:val="false"/>
        <w:keepLines w:val="false"/>
        <w:pageBreakBefore w:val="false"/>
        <w:kinsoku w:val="true"/>
        <w:overflowPunct w:val="true"/>
        <w:bidi w:val="0"/>
        <w:snapToGrid w:val="false"/>
        <w:spacing w:lineRule="exact" w:line="600"/>
        <w:ind w:firstLine="640" w:end="0"/>
        <w:jc w:val="both"/>
        <w:rPr>
          <w:rFonts w:ascii="仿宋_GB2312" w:hAnsi="仿宋_GB2312" w:eastAsia="仿宋_GB2312" w:cs="仿宋_GB2312" w:hint="eastAsia"/>
          <w:i/>
          <w:iCs/>
          <w:sz w:val="32"/>
          <w:szCs w:val="32"/>
          <w:u w:val="single"/>
        </w:rPr>
      </w:pPr>
      <w:r>
        <w:rPr>
          <w:rFonts w:ascii="仿宋_GB2312" w:hAnsi="仿宋_GB2312" w:cs="仿宋_GB2312" w:hint="eastAsia"/>
          <w:b w:val="false"/>
          <w:bCs w:val="false"/>
          <w:sz w:val="32"/>
          <w:szCs w:val="32"/>
        </w:rPr>
        <w:t>在本市依法设立登记的市场主体，由登记机关提供标准化、规范化的服务，享受免费刻制首套印章、领取“税务</w:t>
      </w:r>
      <w:r>
        <w:rPr>
          <w:rFonts w:eastAsia="仿宋_GB2312" w:cs="仿宋_GB2312" w:hint="eastAsia" w:ascii="仿宋_GB2312" w:hAnsi="仿宋_GB2312"/>
          <w:b w:val="false"/>
          <w:bCs w:val="false"/>
          <w:sz w:val="32"/>
          <w:szCs w:val="32"/>
        </w:rPr>
        <w:t>UKey”</w:t>
      </w:r>
      <w:r>
        <w:rPr>
          <w:rFonts w:ascii="仿宋_GB2312" w:hAnsi="仿宋_GB2312" w:cs="仿宋_GB2312" w:hint="eastAsia"/>
          <w:b w:val="false"/>
          <w:bCs w:val="false"/>
          <w:sz w:val="32"/>
          <w:szCs w:val="32"/>
        </w:rPr>
        <w:t>或者通过自动授信方式开具全面数字化电子发票等服务。</w:t>
      </w:r>
    </w:p>
    <w:p>
      <w:pPr>
        <w:pStyle w:val="Normal"/>
        <w:keepNext w:val="false"/>
        <w:keepLines w:val="false"/>
        <w:pageBreakBefore w:val="false"/>
        <w:kinsoku w:val="true"/>
        <w:overflowPunct w:val="true"/>
        <w:bidi w:val="0"/>
        <w:snapToGrid w:val="false"/>
        <w:spacing w:lineRule="exact" w:line="600"/>
        <w:ind w:firstLine="640" w:end="0"/>
        <w:jc w:val="both"/>
        <w:rPr>
          <w:rFonts w:ascii="仿宋_GB2312" w:hAnsi="仿宋_GB2312" w:eastAsia="仿宋_GB2312" w:cs="仿宋_GB2312" w:hint="eastAsia"/>
          <w:i w:val="false"/>
          <w:iCs w:val="false"/>
          <w:sz w:val="32"/>
          <w:szCs w:val="32"/>
          <w:u w:val="none"/>
        </w:rPr>
      </w:pPr>
      <w:r>
        <w:rPr>
          <w:rFonts w:ascii="黑体" w:hAnsi="黑体" w:cs="黑体" w:hint="eastAsia" w:eastAsia="黑体"/>
          <w:i w:val="false"/>
          <w:iCs w:val="false"/>
          <w:sz w:val="32"/>
          <w:szCs w:val="32"/>
          <w:u w:val="none"/>
        </w:rPr>
        <w:t>第八条</w:t>
      </w:r>
      <w:r>
        <w:rPr>
          <w:rFonts w:ascii="仿宋_GB2312" w:hAnsi="仿宋_GB2312" w:cs="仿宋_GB2312" w:hint="eastAsia"/>
          <w:i w:val="false"/>
          <w:iCs w:val="false"/>
          <w:sz w:val="32"/>
          <w:szCs w:val="32"/>
          <w:u w:val="none"/>
        </w:rPr>
        <w:t xml:space="preserve">  行政主管部门应当为市场主体提供办理政务服务事项的办事指南。办事指南应当明确政务服务事项办理条件和流程、所需材料、容缺受理、办理环节和时限、收费标准、联系方式、投诉渠道等内容，办理条件、所需材料不得含有兜底条款。同一政务服务事项的办事指南的主要内容应当保持一致。</w:t>
      </w:r>
    </w:p>
    <w:p>
      <w:pPr>
        <w:pStyle w:val="Normal"/>
        <w:keepNext w:val="false"/>
        <w:keepLines w:val="false"/>
        <w:pageBreakBefore w:val="false"/>
        <w:kinsoku w:val="true"/>
        <w:overflowPunct w:val="true"/>
        <w:bidi w:val="0"/>
        <w:snapToGrid w:val="false"/>
        <w:spacing w:lineRule="exact" w:line="600"/>
        <w:ind w:firstLine="640" w:end="0"/>
        <w:jc w:val="both"/>
        <w:rPr>
          <w:rFonts w:ascii="仿宋_GB2312" w:hAnsi="仿宋_GB2312" w:eastAsia="仿宋_GB2312" w:cs="仿宋_GB2312" w:hint="eastAsia"/>
          <w:kern w:val="2"/>
          <w:sz w:val="32"/>
          <w:szCs w:val="32"/>
        </w:rPr>
      </w:pPr>
      <w:r>
        <w:rPr>
          <w:rFonts w:ascii="黑体" w:hAnsi="黑体" w:cs="黑体" w:hint="eastAsia" w:eastAsia="黑体"/>
          <w:i w:val="false"/>
          <w:iCs w:val="false"/>
          <w:sz w:val="32"/>
          <w:szCs w:val="32"/>
          <w:u w:val="none"/>
          <w:lang w:eastAsia="zh-CN"/>
        </w:rPr>
        <w:t>第</w:t>
      </w:r>
      <w:r>
        <w:rPr>
          <w:rFonts w:ascii="黑体" w:hAnsi="黑体" w:cs="黑体" w:hint="eastAsia" w:eastAsia="黑体"/>
          <w:i w:val="false"/>
          <w:iCs w:val="false"/>
          <w:sz w:val="32"/>
          <w:szCs w:val="32"/>
          <w:u w:val="none"/>
        </w:rPr>
        <w:t>九</w:t>
      </w:r>
      <w:r>
        <w:rPr>
          <w:rFonts w:ascii="黑体" w:hAnsi="黑体" w:cs="黑体" w:hint="eastAsia" w:eastAsia="黑体"/>
          <w:i w:val="false"/>
          <w:iCs w:val="false"/>
          <w:sz w:val="32"/>
          <w:szCs w:val="32"/>
          <w:u w:val="none"/>
          <w:lang w:eastAsia="zh-CN"/>
        </w:rPr>
        <w:t>条</w:t>
      </w:r>
      <w:r>
        <w:rPr>
          <w:rFonts w:ascii="仿宋_GB2312" w:hAnsi="仿宋_GB2312" w:cs="仿宋_GB2312" w:hint="eastAsia"/>
          <w:i w:val="false"/>
          <w:iCs w:val="false"/>
          <w:sz w:val="32"/>
          <w:szCs w:val="32"/>
          <w:u w:val="none"/>
        </w:rPr>
        <w:t xml:space="preserve">  市人民政府应当将涉企经营许可事项全部纳入“证</w:t>
      </w:r>
      <w:r>
        <w:rPr>
          <w:rFonts w:ascii="仿宋_GB2312" w:hAnsi="仿宋_GB2312" w:cs="仿宋_GB2312" w:hint="eastAsia"/>
          <w:kern w:val="2"/>
          <w:sz w:val="32"/>
          <w:szCs w:val="32"/>
        </w:rPr>
        <w:t>照分离”改革事项清单，对涉企经营许可事项进行分类管理。</w:t>
      </w:r>
    </w:p>
    <w:p>
      <w:pPr>
        <w:pStyle w:val="Style16"/>
        <w:keepNext w:val="false"/>
        <w:keepLines w:val="false"/>
        <w:pageBreakBefore w:val="false"/>
        <w:numPr>
          <w:ilvl w:val="0"/>
          <w:numId w:val="0"/>
        </w:numPr>
        <w:kinsoku w:val="true"/>
        <w:overflowPunct w:val="true"/>
        <w:bidi w:val="0"/>
        <w:snapToGrid w:val="false"/>
        <w:spacing w:lineRule="exact" w:line="600"/>
        <w:ind w:firstLineChars="200" w:startChars="0" w:start="0" w:endChars="0" w:end="0"/>
        <w:jc w:val="both"/>
        <w:outlineLvl w:val="2"/>
        <w:rPr>
          <w:rFonts w:ascii="仿宋_GB2312" w:hAnsi="仿宋_GB2312" w:eastAsia="仿宋_GB2312" w:cs="仿宋_GB2312" w:hint="eastAsia"/>
          <w:sz w:val="32"/>
          <w:szCs w:val="32"/>
        </w:rPr>
      </w:pPr>
      <w:r>
        <w:rPr>
          <w:rFonts w:ascii="仿宋_GB2312" w:hAnsi="仿宋_GB2312" w:cs="仿宋_GB2312" w:hint="eastAsia"/>
          <w:kern w:val="2"/>
          <w:sz w:val="32"/>
          <w:szCs w:val="32"/>
        </w:rPr>
        <w:t>本市实行“一照通行”涉企审批服务改革，市场监督管理部门、政务服务数据管理部门应当会同有关主管部门在符合条件的行业，根据市场主体的申请，提供涉企经营许可与营业执照一次申请、并联审批、限时办结等政务服务，将符合条件的涉企经营许可与营业执照合并办理，各类许可信息归集至企业名下，可通过营业执照统一查询并对外公示。</w:t>
      </w:r>
    </w:p>
    <w:p>
      <w:pPr>
        <w:pStyle w:val="Normal"/>
        <w:keepNext w:val="false"/>
        <w:keepLines w:val="false"/>
        <w:pageBreakBefore w:val="false"/>
        <w:widowControl w:val="false"/>
        <w:numPr>
          <w:ilvl w:val="0"/>
          <w:numId w:val="0"/>
        </w:numPr>
        <w:kinsoku w:val="true"/>
        <w:overflowPunct w:val="true"/>
        <w:bidi w:val="0"/>
        <w:snapToGrid w:val="false"/>
        <w:spacing w:lineRule="exact" w:line="600"/>
        <w:ind w:firstLineChars="200" w:startChars="0" w:start="0" w:endChars="0" w:end="0"/>
        <w:jc w:val="both"/>
        <w:outlineLvl w:val="2"/>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lang w:eastAsia="zh-CN"/>
        </w:rPr>
        <w:t>第</w:t>
      </w:r>
      <w:r>
        <w:rPr>
          <w:rFonts w:ascii="黑体" w:hAnsi="黑体" w:cs="黑体" w:hint="eastAsia" w:eastAsia="黑体"/>
          <w:b w:val="false"/>
          <w:bCs w:val="false"/>
          <w:sz w:val="32"/>
          <w:szCs w:val="32"/>
        </w:rPr>
        <w:t>十</w:t>
      </w:r>
      <w:r>
        <w:rPr>
          <w:rFonts w:ascii="黑体" w:hAnsi="黑体" w:cs="黑体" w:hint="eastAsia" w:eastAsia="黑体"/>
          <w:b w:val="false"/>
          <w:bCs w:val="false"/>
          <w:sz w:val="32"/>
          <w:szCs w:val="32"/>
          <w:lang w:eastAsia="zh-CN"/>
        </w:rPr>
        <w:t>条</w:t>
      </w:r>
      <w:r>
        <w:rPr>
          <w:rFonts w:ascii="黑体" w:hAnsi="黑体" w:cs="黑体" w:hint="eastAsia" w:eastAsia="黑体"/>
          <w:b w:val="false"/>
          <w:bCs w:val="false"/>
          <w:sz w:val="32"/>
          <w:szCs w:val="32"/>
        </w:rPr>
        <w:t xml:space="preserve">  </w:t>
      </w:r>
      <w:r>
        <w:rPr>
          <w:rFonts w:ascii="仿宋_GB2312" w:hAnsi="仿宋_GB2312" w:cs="仿宋_GB2312" w:hint="eastAsia"/>
          <w:b w:val="false"/>
          <w:bCs w:val="false"/>
          <w:sz w:val="32"/>
          <w:szCs w:val="32"/>
        </w:rPr>
        <w:t>市人民政府应当组织有关工程主管部门做好如下政务服务工作：</w:t>
      </w:r>
    </w:p>
    <w:p>
      <w:pPr>
        <w:pStyle w:val="Normal"/>
        <w:keepNext w:val="false"/>
        <w:keepLines w:val="false"/>
        <w:pageBreakBefore w:val="false"/>
        <w:widowControl w:val="false"/>
        <w:numPr>
          <w:ilvl w:val="0"/>
          <w:numId w:val="0"/>
        </w:numPr>
        <w:kinsoku w:val="true"/>
        <w:overflowPunct w:val="true"/>
        <w:bidi w:val="0"/>
        <w:snapToGrid w:val="false"/>
        <w:spacing w:lineRule="exact" w:line="600"/>
        <w:ind w:firstLineChars="200" w:startChars="0" w:start="0" w:endChars="0" w:end="0"/>
        <w:jc w:val="both"/>
        <w:outlineLvl w:val="2"/>
        <w:rPr>
          <w:rFonts w:ascii="仿宋_GB2312" w:hAnsi="仿宋_GB2312" w:eastAsia="仿宋_GB2312" w:cs="仿宋_GB2312" w:hint="eastAsia"/>
          <w:color w:val="000000"/>
          <w:kern w:val="2"/>
          <w:sz w:val="32"/>
          <w:szCs w:val="32"/>
        </w:rPr>
      </w:pPr>
      <w:r>
        <w:rPr>
          <w:rFonts w:ascii="仿宋_GB2312" w:hAnsi="仿宋_GB2312" w:cs="仿宋_GB2312" w:hint="eastAsia"/>
          <w:b w:val="false"/>
          <w:bCs w:val="false"/>
          <w:sz w:val="32"/>
          <w:szCs w:val="32"/>
        </w:rPr>
        <w:t>（一）</w:t>
      </w:r>
      <w:r>
        <w:rPr>
          <w:rFonts w:ascii="仿宋_GB2312" w:hAnsi="仿宋_GB2312" w:cs="仿宋_GB2312" w:hint="eastAsia"/>
          <w:sz w:val="32"/>
          <w:szCs w:val="32"/>
        </w:rPr>
        <w:t>制定并公布</w:t>
      </w:r>
      <w:r>
        <w:rPr>
          <w:rFonts w:ascii="仿宋_GB2312" w:hAnsi="仿宋_GB2312" w:cs="仿宋_GB2312" w:hint="eastAsia"/>
          <w:i w:val="false"/>
          <w:iCs w:val="false"/>
          <w:sz w:val="32"/>
          <w:szCs w:val="32"/>
          <w:u w:val="none"/>
        </w:rPr>
        <w:t>本市</w:t>
      </w:r>
      <w:r>
        <w:rPr>
          <w:rFonts w:ascii="仿宋_GB2312" w:hAnsi="仿宋_GB2312" w:cs="仿宋_GB2312" w:hint="eastAsia"/>
          <w:sz w:val="32"/>
          <w:szCs w:val="32"/>
        </w:rPr>
        <w:t>工程建设项目风险</w:t>
      </w:r>
      <w:r>
        <w:rPr>
          <w:rFonts w:ascii="仿宋_GB2312" w:hAnsi="仿宋_GB2312" w:cs="仿宋_GB2312" w:hint="eastAsia"/>
          <w:color w:val="000000"/>
          <w:sz w:val="32"/>
          <w:szCs w:val="32"/>
        </w:rPr>
        <w:t>划分标准和风险等级目录，</w:t>
      </w:r>
      <w:r>
        <w:rPr>
          <w:rFonts w:ascii="仿宋_GB2312" w:hAnsi="仿宋_GB2312" w:cs="仿宋_GB2312" w:hint="eastAsia"/>
          <w:i w:val="false"/>
          <w:iCs w:val="false"/>
          <w:color w:val="000000"/>
          <w:kern w:val="2"/>
          <w:sz w:val="32"/>
          <w:szCs w:val="32"/>
          <w:u w:val="none"/>
        </w:rPr>
        <w:t>规范</w:t>
      </w:r>
      <w:r>
        <w:rPr>
          <w:rFonts w:ascii="仿宋_GB2312" w:hAnsi="仿宋_GB2312" w:cs="仿宋_GB2312" w:hint="eastAsia"/>
          <w:color w:val="000000"/>
          <w:kern w:val="2"/>
          <w:sz w:val="32"/>
          <w:szCs w:val="32"/>
        </w:rPr>
        <w:t>审批流程，</w:t>
      </w:r>
      <w:r>
        <w:rPr>
          <w:rFonts w:ascii="仿宋_GB2312" w:hAnsi="仿宋_GB2312" w:cs="仿宋_GB2312" w:hint="eastAsia"/>
          <w:color w:val="000000"/>
          <w:sz w:val="32"/>
          <w:szCs w:val="32"/>
        </w:rPr>
        <w:t>并</w:t>
      </w:r>
      <w:r>
        <w:rPr>
          <w:rFonts w:ascii="仿宋_GB2312" w:hAnsi="仿宋_GB2312" w:cs="仿宋_GB2312" w:hint="eastAsia"/>
          <w:i w:val="false"/>
          <w:iCs w:val="false"/>
          <w:color w:val="000000"/>
          <w:sz w:val="32"/>
          <w:szCs w:val="32"/>
          <w:u w:val="none"/>
        </w:rPr>
        <w:t>推动</w:t>
      </w:r>
      <w:r>
        <w:rPr>
          <w:rFonts w:ascii="仿宋_GB2312" w:hAnsi="仿宋_GB2312" w:cs="仿宋_GB2312" w:hint="eastAsia"/>
          <w:color w:val="000000"/>
          <w:sz w:val="32"/>
          <w:szCs w:val="32"/>
        </w:rPr>
        <w:t>市发展改革、自然资源等部门实行差异化审批和精准化监管；</w:t>
      </w:r>
    </w:p>
    <w:p>
      <w:pPr>
        <w:pStyle w:val="Normal"/>
        <w:keepNext w:val="false"/>
        <w:keepLines w:val="false"/>
        <w:pageBreakBefore w:val="false"/>
        <w:widowControl w:val="false"/>
        <w:kinsoku w:val="true"/>
        <w:overflowPunct w:val="true"/>
        <w:autoSpaceDE w:val="false"/>
        <w:bidi w:val="0"/>
        <w:snapToGrid w:val="false"/>
        <w:spacing w:lineRule="exact" w:line="600"/>
        <w:ind w:firstLineChars="200" w:startChars="0" w:start="0" w:endChars="0" w:end="0"/>
        <w:jc w:val="both"/>
        <w:rPr>
          <w:rFonts w:ascii="仿宋_GB2312" w:hAnsi="仿宋_GB2312" w:eastAsia="仿宋_GB2312" w:cs="仿宋_GB2312" w:hint="eastAsia"/>
          <w:i w:val="false"/>
          <w:iCs w:val="false"/>
          <w:color w:val="000000"/>
          <w:kern w:val="2"/>
          <w:sz w:val="32"/>
          <w:szCs w:val="32"/>
          <w:u w:val="none"/>
        </w:rPr>
      </w:pPr>
      <w:r>
        <w:rPr>
          <w:rFonts w:ascii="仿宋_GB2312" w:hAnsi="仿宋_GB2312" w:cs="仿宋_GB2312" w:hint="eastAsia"/>
          <w:color w:val="000000"/>
          <w:sz w:val="32"/>
          <w:szCs w:val="32"/>
        </w:rPr>
        <w:t>（二）</w:t>
      </w:r>
      <w:r>
        <w:rPr>
          <w:rFonts w:ascii="仿宋_GB2312" w:hAnsi="仿宋_GB2312" w:cs="仿宋_GB2312" w:hint="eastAsia"/>
          <w:i w:val="false"/>
          <w:iCs w:val="false"/>
          <w:color w:val="000000"/>
          <w:kern w:val="2"/>
          <w:sz w:val="32"/>
          <w:szCs w:val="32"/>
          <w:u w:val="none"/>
        </w:rPr>
        <w:t>简化立项用地规划许可、建设工程规划许可、施工许可、竣工验收等各审批阶段的流程；</w:t>
      </w:r>
      <w:r>
        <w:rPr>
          <w:rFonts w:ascii="仿宋_GB2312" w:hAnsi="仿宋_GB2312" w:cs="仿宋_GB2312" w:hint="eastAsia"/>
          <w:color w:val="000000"/>
          <w:sz w:val="32"/>
          <w:szCs w:val="32"/>
        </w:rPr>
        <w:t>根据市场主体的申请，提供工程建设项目全流程网上办理的</w:t>
      </w:r>
      <w:r>
        <w:rPr>
          <w:rFonts w:ascii="仿宋_GB2312" w:hAnsi="仿宋_GB2312" w:cs="仿宋_GB2312" w:hint="eastAsia"/>
          <w:i w:val="false"/>
          <w:iCs w:val="false"/>
          <w:color w:val="000000"/>
          <w:kern w:val="2"/>
          <w:sz w:val="32"/>
          <w:szCs w:val="32"/>
          <w:u w:val="none"/>
        </w:rPr>
        <w:t>并联审批、联合测绘、联合验收</w:t>
      </w:r>
      <w:r>
        <w:rPr>
          <w:rFonts w:ascii="仿宋_GB2312" w:hAnsi="仿宋_GB2312" w:cs="仿宋_GB2312" w:hint="eastAsia"/>
          <w:color w:val="000000"/>
          <w:sz w:val="32"/>
          <w:szCs w:val="32"/>
        </w:rPr>
        <w:t>等政务服务；</w:t>
      </w:r>
    </w:p>
    <w:p>
      <w:pPr>
        <w:pStyle w:val="Normal"/>
        <w:keepNext w:val="false"/>
        <w:keepLines w:val="false"/>
        <w:pageBreakBefore w:val="false"/>
        <w:widowControl w:val="false"/>
        <w:kinsoku w:val="true"/>
        <w:overflowPunct w:val="true"/>
        <w:autoSpaceDE w:val="false"/>
        <w:bidi w:val="0"/>
        <w:snapToGrid w:val="false"/>
        <w:spacing w:lineRule="exact" w:line="60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i w:val="false"/>
          <w:iCs w:val="false"/>
          <w:color w:val="000000"/>
          <w:sz w:val="32"/>
          <w:szCs w:val="32"/>
          <w:u w:val="none"/>
        </w:rPr>
        <w:t>（三）通过购买服务、压缩审批时限和流程等方式，优化本市</w:t>
      </w:r>
      <w:r>
        <w:rPr>
          <w:rFonts w:ascii="仿宋_GB2312" w:hAnsi="仿宋_GB2312" w:cs="仿宋_GB2312" w:hint="eastAsia"/>
          <w:color w:val="000000"/>
          <w:sz w:val="32"/>
          <w:szCs w:val="32"/>
        </w:rPr>
        <w:t>社会投资的</w:t>
      </w:r>
      <w:r>
        <w:rPr>
          <w:rFonts w:ascii="仿宋_GB2312" w:hAnsi="仿宋_GB2312" w:cs="仿宋_GB2312" w:hint="eastAsia"/>
          <w:color w:val="000000"/>
          <w:sz w:val="32"/>
          <w:szCs w:val="32"/>
          <w:lang w:eastAsia="zh-CN"/>
        </w:rPr>
        <w:t>简易</w:t>
      </w:r>
      <w:r>
        <w:rPr>
          <w:rFonts w:ascii="仿宋_GB2312" w:hAnsi="仿宋_GB2312" w:cs="仿宋_GB2312" w:hint="eastAsia"/>
          <w:color w:val="000000"/>
          <w:sz w:val="32"/>
          <w:szCs w:val="32"/>
        </w:rPr>
        <w:t>低风险工程建设项目的政务服务。</w:t>
      </w:r>
    </w:p>
    <w:p>
      <w:pPr>
        <w:pStyle w:val="TOC2"/>
        <w:keepNext w:val="false"/>
        <w:keepLines w:val="false"/>
        <w:pageBreakBefore w:val="false"/>
        <w:numPr>
          <w:ilvl w:val="0"/>
          <w:numId w:val="0"/>
        </w:numPr>
        <w:kinsoku w:val="true"/>
        <w:overflowPunct w:val="true"/>
        <w:bidi w:val="0"/>
        <w:snapToGrid w:val="false"/>
        <w:spacing w:lineRule="exact" w:line="600"/>
        <w:ind w:firstLineChars="200" w:startChars="0" w:start="0" w:endChars="0" w:end="0"/>
        <w:jc w:val="both"/>
        <w:outlineLvl w:val="2"/>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第十一条  </w:t>
      </w:r>
      <w:r>
        <w:rPr>
          <w:rFonts w:ascii="仿宋_GB2312" w:hAnsi="仿宋_GB2312" w:cs="仿宋_GB2312" w:hint="eastAsia"/>
          <w:b w:val="false"/>
          <w:bCs w:val="false"/>
          <w:sz w:val="32"/>
          <w:szCs w:val="32"/>
        </w:rPr>
        <w:t>市人民政府及其有关部门应当建立健全港澳台和国外专家、人才团队吸引集聚和联系服务</w:t>
      </w:r>
      <w:r>
        <w:rPr>
          <w:rFonts w:ascii="仿宋_GB2312" w:hAnsi="仿宋_GB2312" w:cs="仿宋_GB2312" w:hint="eastAsia"/>
          <w:i w:val="false"/>
          <w:iCs w:val="false"/>
          <w:color w:val="000000"/>
          <w:kern w:val="0"/>
          <w:sz w:val="32"/>
          <w:szCs w:val="32"/>
          <w:u w:val="none"/>
        </w:rPr>
        <w:t>的</w:t>
      </w:r>
      <w:r>
        <w:rPr>
          <w:rFonts w:ascii="仿宋_GB2312" w:hAnsi="仿宋_GB2312" w:cs="仿宋_GB2312" w:hint="eastAsia"/>
          <w:b w:val="false"/>
          <w:bCs w:val="false"/>
          <w:sz w:val="32"/>
          <w:szCs w:val="32"/>
        </w:rPr>
        <w:t>机制，并做好服务管理工作。</w:t>
      </w:r>
    </w:p>
    <w:p>
      <w:pPr>
        <w:pStyle w:val="TOC2"/>
        <w:keepNext w:val="false"/>
        <w:keepLines w:val="false"/>
        <w:pageBreakBefore w:val="false"/>
        <w:numPr>
          <w:ilvl w:val="0"/>
          <w:numId w:val="0"/>
        </w:numPr>
        <w:kinsoku w:val="true"/>
        <w:overflowPunct w:val="true"/>
        <w:bidi w:val="0"/>
        <w:snapToGrid w:val="false"/>
        <w:spacing w:lineRule="exact" w:line="600"/>
        <w:ind w:firstLineChars="200" w:startChars="0" w:start="0" w:endChars="0" w:end="0"/>
        <w:jc w:val="both"/>
        <w:outlineLvl w:val="2"/>
        <w:rPr>
          <w:rFonts w:ascii="仿宋_GB2312" w:hAnsi="仿宋_GB2312" w:eastAsia="仿宋_GB2312" w:cs="仿宋_GB2312" w:hint="eastAsia"/>
          <w:i w:val="false"/>
          <w:iCs w:val="false"/>
          <w:color w:val="000000"/>
          <w:kern w:val="0"/>
          <w:sz w:val="32"/>
          <w:szCs w:val="32"/>
          <w:u w:val="none"/>
        </w:rPr>
      </w:pPr>
      <w:r>
        <w:rPr>
          <w:rFonts w:ascii="仿宋_GB2312" w:hAnsi="仿宋_GB2312" w:cs="仿宋_GB2312" w:hint="eastAsia"/>
          <w:color w:val="000000"/>
          <w:kern w:val="0"/>
          <w:sz w:val="32"/>
          <w:szCs w:val="32"/>
        </w:rPr>
        <w:t>市、区人民政府</w:t>
      </w:r>
      <w:r>
        <w:rPr>
          <w:rFonts w:ascii="仿宋_GB2312" w:hAnsi="仿宋_GB2312" w:cs="仿宋_GB2312" w:hint="eastAsia"/>
          <w:i w:val="false"/>
          <w:iCs w:val="false"/>
          <w:color w:val="000000"/>
          <w:kern w:val="0"/>
          <w:sz w:val="32"/>
          <w:szCs w:val="32"/>
          <w:u w:val="none"/>
        </w:rPr>
        <w:t>应当依法为高层次人才、高技能人才、紧缺急需人才及其家属提供相关服务；结合我市相关行业发展实际，为</w:t>
      </w:r>
      <w:r>
        <w:rPr>
          <w:rFonts w:ascii="仿宋_GB2312" w:hAnsi="仿宋_GB2312" w:cs="仿宋_GB2312" w:hint="eastAsia"/>
          <w:i w:val="false"/>
          <w:iCs w:val="false"/>
          <w:color w:val="000000"/>
          <w:kern w:val="0"/>
          <w:sz w:val="32"/>
          <w:szCs w:val="32"/>
          <w:u w:val="none"/>
        </w:rPr>
        <w:t>产业工人和技能人才</w:t>
      </w:r>
      <w:r>
        <w:rPr>
          <w:rFonts w:ascii="仿宋_GB2312" w:hAnsi="仿宋_GB2312" w:cs="仿宋_GB2312" w:hint="eastAsia"/>
          <w:color w:val="000000"/>
          <w:kern w:val="0"/>
          <w:sz w:val="32"/>
          <w:szCs w:val="32"/>
        </w:rPr>
        <w:t>提供住房、医疗、教育等民生服务</w:t>
      </w:r>
      <w:r>
        <w:rPr>
          <w:rFonts w:ascii="仿宋_GB2312" w:hAnsi="仿宋_GB2312" w:cs="仿宋_GB2312" w:hint="eastAsia"/>
          <w:i w:val="false"/>
          <w:iCs w:val="false"/>
          <w:color w:val="000000"/>
          <w:kern w:val="0"/>
          <w:sz w:val="32"/>
          <w:szCs w:val="32"/>
          <w:u w:val="none"/>
        </w:rPr>
        <w:t>，优化产业工人和技能人才及其家属落户政策。</w:t>
      </w:r>
    </w:p>
    <w:p>
      <w:pPr>
        <w:pStyle w:val="TOC2"/>
        <w:keepNext w:val="false"/>
        <w:keepLines w:val="false"/>
        <w:pageBreakBefore w:val="false"/>
        <w:numPr>
          <w:ilvl w:val="0"/>
          <w:numId w:val="0"/>
        </w:numPr>
        <w:kinsoku w:val="true"/>
        <w:overflowPunct w:val="true"/>
        <w:bidi w:val="0"/>
        <w:snapToGrid w:val="false"/>
        <w:spacing w:lineRule="exact" w:line="600"/>
        <w:ind w:firstLineChars="200" w:startChars="0" w:start="0" w:endChars="0" w:end="0"/>
        <w:jc w:val="both"/>
        <w:outlineLvl w:val="2"/>
        <w:rPr>
          <w:rFonts w:ascii="仿宋_GB2312" w:hAnsi="仿宋_GB2312" w:eastAsia="仿宋_GB2312" w:cs="仿宋_GB2312" w:hint="eastAsia"/>
          <w:i w:val="false"/>
          <w:iCs w:val="false"/>
          <w:color w:val="000000"/>
          <w:kern w:val="0"/>
          <w:sz w:val="32"/>
          <w:szCs w:val="32"/>
          <w:u w:val="none"/>
        </w:rPr>
      </w:pPr>
      <w:r>
        <w:rPr>
          <w:rFonts w:ascii="仿宋_GB2312" w:hAnsi="仿宋_GB2312" w:cs="仿宋_GB2312" w:hint="eastAsia"/>
          <w:i w:val="false"/>
          <w:iCs w:val="false"/>
          <w:color w:val="000000"/>
          <w:kern w:val="0"/>
          <w:sz w:val="32"/>
          <w:szCs w:val="32"/>
          <w:u w:val="none"/>
        </w:rPr>
        <w:t>市、区人民政府及其教育、科学技术、人力资源和社会保障等有关部门应当深化产教融合，推进校企合作，采用人才定制培养、构建技能人才“终身培训体系”等方式支持高等院校、职业学校培养与市场主体需求相适应的技能人才。</w:t>
      </w:r>
    </w:p>
    <w:p>
      <w:pPr>
        <w:pStyle w:val="TOC2"/>
        <w:keepNext w:val="false"/>
        <w:keepLines w:val="false"/>
        <w:pageBreakBefore w:val="false"/>
        <w:numPr>
          <w:ilvl w:val="0"/>
          <w:numId w:val="0"/>
        </w:numPr>
        <w:kinsoku w:val="true"/>
        <w:overflowPunct w:val="true"/>
        <w:bidi w:val="0"/>
        <w:snapToGrid w:val="false"/>
        <w:spacing w:lineRule="exact" w:line="600"/>
        <w:ind w:firstLineChars="200" w:startChars="0" w:start="0" w:endChars="0" w:end="0"/>
        <w:jc w:val="both"/>
        <w:outlineLvl w:val="2"/>
        <w:rPr>
          <w:rFonts w:ascii="仿宋_GB2312" w:hAnsi="仿宋_GB2312" w:eastAsia="仿宋_GB2312" w:cs="仿宋_GB2312" w:hint="eastAsia"/>
          <w:color w:val="000000"/>
          <w:kern w:val="0"/>
          <w:sz w:val="32"/>
          <w:szCs w:val="32"/>
        </w:rPr>
      </w:pPr>
      <w:r>
        <w:rPr>
          <w:rFonts w:ascii="仿宋_GB2312" w:hAnsi="仿宋_GB2312" w:cs="仿宋_GB2312" w:hint="eastAsia"/>
          <w:i w:val="false"/>
          <w:iCs w:val="false"/>
          <w:color w:val="000000"/>
          <w:kern w:val="0"/>
          <w:sz w:val="32"/>
          <w:szCs w:val="32"/>
          <w:u w:val="none"/>
        </w:rPr>
        <w:t>各级人力资源和社会保障部门应当为市场主体提供用工指</w:t>
      </w:r>
      <w:r>
        <w:rPr>
          <w:rFonts w:ascii="仿宋_GB2312" w:hAnsi="仿宋_GB2312" w:cs="仿宋_GB2312" w:hint="eastAsia"/>
          <w:color w:val="000000"/>
          <w:kern w:val="0"/>
          <w:sz w:val="32"/>
          <w:szCs w:val="32"/>
        </w:rPr>
        <w:t>导、政策咨询、劳动关系协调等服务；支持市场主体采用灵活用工机制，引导有需求的市场主体开展共享用工</w:t>
      </w:r>
      <w:r>
        <w:rPr>
          <w:rFonts w:ascii="仿宋_GB2312" w:hAnsi="仿宋_GB2312" w:cs="仿宋_GB2312" w:hint="eastAsia"/>
          <w:i w:val="false"/>
          <w:iCs w:val="false"/>
          <w:color w:val="000000"/>
          <w:kern w:val="0"/>
          <w:sz w:val="32"/>
          <w:szCs w:val="32"/>
          <w:u w:val="none"/>
        </w:rPr>
        <w:t>。</w:t>
      </w:r>
    </w:p>
    <w:p>
      <w:pPr>
        <w:pStyle w:val="Normal"/>
        <w:keepNext w:val="false"/>
        <w:keepLines w:val="false"/>
        <w:pageBreakBefore w:val="false"/>
        <w:numPr>
          <w:ilvl w:val="0"/>
          <w:numId w:val="0"/>
        </w:numPr>
        <w:kinsoku w:val="true"/>
        <w:overflowPunct w:val="true"/>
        <w:bidi w:val="0"/>
        <w:snapToGrid w:val="false"/>
        <w:spacing w:lineRule="exact" w:line="600"/>
        <w:ind w:firstLine="643" w:end="0"/>
        <w:jc w:val="both"/>
        <w:outlineLvl w:val="2"/>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市人力资源和社会保障部门应当加强全市人力资源大数据库建设，提供人力资源扶持政策和服务的精准化推送，及时公布人力资源供给与市场需求信息，提高人力资源配置效率。</w:t>
      </w:r>
    </w:p>
    <w:p>
      <w:pPr>
        <w:pStyle w:val="Normal"/>
        <w:keepNext w:val="false"/>
        <w:keepLines w:val="false"/>
        <w:pageBreakBefore w:val="false"/>
        <w:numPr>
          <w:ilvl w:val="0"/>
          <w:numId w:val="0"/>
        </w:numPr>
        <w:kinsoku w:val="true"/>
        <w:overflowPunct w:val="true"/>
        <w:bidi w:val="0"/>
        <w:snapToGrid w:val="false"/>
        <w:spacing w:lineRule="exact" w:line="600"/>
        <w:ind w:firstLine="643" w:end="0"/>
        <w:jc w:val="both"/>
        <w:outlineLvl w:val="2"/>
        <w:rPr>
          <w:rFonts w:ascii="仿宋_GB2312" w:hAnsi="仿宋_GB2312" w:eastAsia="仿宋_GB2312" w:cs="仿宋_GB2312" w:hint="eastAsia"/>
          <w:color w:val="000000"/>
          <w:kern w:val="0"/>
          <w:sz w:val="32"/>
          <w:szCs w:val="32"/>
        </w:rPr>
      </w:pPr>
      <w:r>
        <w:rPr>
          <w:rFonts w:ascii="黑体" w:hAnsi="黑体" w:cs="黑体" w:hint="eastAsia" w:eastAsia="黑体"/>
          <w:b w:val="false"/>
          <w:bCs w:val="false"/>
          <w:sz w:val="32"/>
          <w:szCs w:val="32"/>
        </w:rPr>
        <w:t xml:space="preserve">第十二条  </w:t>
      </w:r>
      <w:r>
        <w:rPr>
          <w:rFonts w:ascii="仿宋_GB2312" w:hAnsi="仿宋_GB2312" w:cs="仿宋_GB2312" w:hint="eastAsia"/>
          <w:color w:val="000000"/>
          <w:kern w:val="0"/>
          <w:sz w:val="32"/>
          <w:szCs w:val="32"/>
        </w:rPr>
        <w:t>市、区人民政府应当依法完善知识产权保护机制，健全多部门联合执法机制，加强跨区域知识产权执法协作机制，强化知识产权创造、保护和运用。</w:t>
      </w:r>
    </w:p>
    <w:p>
      <w:pPr>
        <w:pStyle w:val="Normal"/>
        <w:keepNext w:val="false"/>
        <w:keepLines w:val="false"/>
        <w:pageBreakBefore w:val="false"/>
        <w:kinsoku w:val="true"/>
        <w:overflowPunct w:val="true"/>
        <w:bidi w:val="0"/>
        <w:snapToGrid w:val="false"/>
        <w:spacing w:lineRule="exact" w:line="600"/>
        <w:ind w:firstLine="643"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市知识产权部门负责建设知识产权公共服务平台，制定知识产权公共服务事项清单，为市场主体提供知识产权保护</w:t>
      </w:r>
      <w:r>
        <w:rPr>
          <w:rFonts w:ascii="仿宋_GB2312" w:hAnsi="仿宋_GB2312" w:cs="仿宋_GB2312" w:hint="eastAsia"/>
          <w:i w:val="false"/>
          <w:iCs w:val="false"/>
          <w:color w:val="000000"/>
          <w:kern w:val="0"/>
          <w:sz w:val="32"/>
          <w:szCs w:val="32"/>
          <w:u w:val="none"/>
        </w:rPr>
        <w:t>的</w:t>
      </w:r>
      <w:r>
        <w:rPr>
          <w:rFonts w:ascii="仿宋_GB2312" w:hAnsi="仿宋_GB2312" w:cs="仿宋_GB2312" w:hint="eastAsia"/>
          <w:color w:val="000000"/>
          <w:kern w:val="0"/>
          <w:sz w:val="32"/>
          <w:szCs w:val="32"/>
        </w:rPr>
        <w:t>政策指导、技术咨询等</w:t>
      </w:r>
      <w:r>
        <w:rPr>
          <w:rFonts w:ascii="仿宋_GB2312" w:hAnsi="仿宋_GB2312" w:cs="仿宋_GB2312" w:hint="eastAsia"/>
          <w:i w:val="false"/>
          <w:iCs w:val="false"/>
          <w:color w:val="000000"/>
          <w:kern w:val="0"/>
          <w:sz w:val="32"/>
          <w:szCs w:val="32"/>
          <w:u w:val="none"/>
        </w:rPr>
        <w:t>政务</w:t>
      </w:r>
      <w:r>
        <w:rPr>
          <w:rFonts w:ascii="仿宋_GB2312" w:hAnsi="仿宋_GB2312" w:cs="仿宋_GB2312" w:hint="eastAsia"/>
          <w:color w:val="000000"/>
          <w:kern w:val="0"/>
          <w:sz w:val="32"/>
          <w:szCs w:val="32"/>
        </w:rPr>
        <w:t>服务；</w:t>
      </w:r>
      <w:r>
        <w:rPr>
          <w:rFonts w:ascii="仿宋_GB2312" w:hAnsi="仿宋_GB2312" w:cs="仿宋_GB2312" w:hint="eastAsia"/>
          <w:i w:val="false"/>
          <w:iCs w:val="false"/>
          <w:color w:val="000000"/>
          <w:kern w:val="0"/>
          <w:sz w:val="32"/>
          <w:szCs w:val="32"/>
          <w:u w:val="none"/>
        </w:rPr>
        <w:t>推动和配合</w:t>
      </w:r>
      <w:r>
        <w:rPr>
          <w:rFonts w:ascii="仿宋_GB2312" w:hAnsi="仿宋_GB2312" w:cs="仿宋_GB2312" w:hint="eastAsia"/>
          <w:color w:val="000000"/>
          <w:kern w:val="0"/>
          <w:sz w:val="32"/>
          <w:szCs w:val="32"/>
        </w:rPr>
        <w:t>重点行业、企业开展知识产权海外维权与知识产权保护国际合作交流；</w:t>
      </w:r>
      <w:r>
        <w:rPr>
          <w:rFonts w:ascii="仿宋_GB2312" w:hAnsi="仿宋_GB2312" w:cs="仿宋_GB2312" w:hint="eastAsia"/>
          <w:i w:val="false"/>
          <w:iCs w:val="false"/>
          <w:color w:val="000000"/>
          <w:kern w:val="0"/>
          <w:sz w:val="32"/>
          <w:szCs w:val="32"/>
          <w:u w:val="none"/>
        </w:rPr>
        <w:t>支持</w:t>
      </w:r>
      <w:r>
        <w:rPr>
          <w:rFonts w:ascii="仿宋_GB2312" w:hAnsi="仿宋_GB2312" w:cs="仿宋_GB2312" w:hint="eastAsia"/>
          <w:color w:val="000000"/>
          <w:kern w:val="0"/>
          <w:sz w:val="32"/>
          <w:szCs w:val="32"/>
        </w:rPr>
        <w:t>知识产权公益性服务机构为市场主体开展海外纠纷</w:t>
      </w:r>
      <w:r>
        <w:rPr>
          <w:rFonts w:ascii="仿宋_GB2312" w:hAnsi="仿宋_GB2312" w:cs="仿宋_GB2312" w:hint="eastAsia"/>
          <w:i w:val="false"/>
          <w:iCs w:val="false"/>
          <w:color w:val="000000"/>
          <w:kern w:val="0"/>
          <w:sz w:val="32"/>
          <w:szCs w:val="32"/>
          <w:u w:val="none"/>
        </w:rPr>
        <w:t>应对提供</w:t>
      </w:r>
      <w:r>
        <w:rPr>
          <w:rFonts w:ascii="仿宋_GB2312" w:hAnsi="仿宋_GB2312" w:cs="仿宋_GB2312" w:hint="eastAsia"/>
          <w:color w:val="000000"/>
          <w:kern w:val="0"/>
          <w:sz w:val="32"/>
          <w:szCs w:val="32"/>
        </w:rPr>
        <w:t>指导服务。</w:t>
      </w:r>
    </w:p>
    <w:p>
      <w:pPr>
        <w:pStyle w:val="TOC2"/>
        <w:keepNext w:val="false"/>
        <w:keepLines w:val="false"/>
        <w:pageBreakBefore w:val="false"/>
        <w:kinsoku w:val="true"/>
        <w:overflowPunct w:val="true"/>
        <w:bidi w:val="0"/>
        <w:snapToGrid w:val="false"/>
        <w:spacing w:lineRule="exact" w:line="60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color w:val="000000"/>
          <w:kern w:val="0"/>
          <w:sz w:val="32"/>
          <w:szCs w:val="32"/>
        </w:rPr>
        <w:t>佛山市知识产权保护中心、中国顺德（家电）知识产权快速维权中心等机构应当会同有关部门依法建立知识产权协同保护机制，为市场主体提供集快速审查、快速确权、快速维权于一体的“一站式”知识产权综合服务。</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sz w:val="32"/>
          <w:szCs w:val="32"/>
        </w:rPr>
        <w:t xml:space="preserve">第十三条  </w:t>
      </w:r>
      <w:r>
        <w:rPr>
          <w:rFonts w:ascii="仿宋_GB2312" w:hAnsi="仿宋_GB2312" w:cs="仿宋_GB2312" w:hint="eastAsia"/>
          <w:b w:val="false"/>
          <w:bCs w:val="false"/>
          <w:color w:val="000000"/>
          <w:sz w:val="32"/>
          <w:szCs w:val="32"/>
        </w:rPr>
        <w:t>市、</w:t>
      </w:r>
      <w:r>
        <w:rPr>
          <w:rFonts w:ascii="仿宋_GB2312" w:hAnsi="仿宋_GB2312" w:cs="仿宋_GB2312" w:hint="eastAsia"/>
          <w:color w:val="000000"/>
          <w:kern w:val="0"/>
          <w:sz w:val="32"/>
          <w:szCs w:val="32"/>
        </w:rPr>
        <w:t>区人民政府应当在本级财政预算中安排资金，重点用于本市制造业数字化智能化</w:t>
      </w:r>
      <w:r>
        <w:rPr>
          <w:rFonts w:ascii="仿宋_GB2312" w:hAnsi="仿宋_GB2312" w:cs="仿宋_GB2312" w:hint="eastAsia"/>
          <w:color w:val="000000"/>
          <w:kern w:val="2"/>
          <w:sz w:val="32"/>
          <w:szCs w:val="32"/>
        </w:rPr>
        <w:t>转型，增强本市制造业数字化智能化供给能力</w:t>
      </w:r>
      <w:r>
        <w:rPr>
          <w:rFonts w:ascii="仿宋_GB2312" w:hAnsi="仿宋_GB2312" w:cs="仿宋_GB2312" w:hint="eastAsia"/>
          <w:color w:val="000000"/>
          <w:sz w:val="32"/>
          <w:szCs w:val="32"/>
        </w:rPr>
        <w:t>。</w:t>
      </w:r>
    </w:p>
    <w:p>
      <w:pPr>
        <w:pStyle w:val="TOC2"/>
        <w:keepNext w:val="false"/>
        <w:keepLines w:val="false"/>
        <w:pageBreakBefore w:val="false"/>
        <w:kinsoku w:val="true"/>
        <w:overflowPunct w:val="true"/>
        <w:bidi w:val="0"/>
        <w:snapToGrid w:val="false"/>
        <w:spacing w:lineRule="exact" w:line="60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color w:val="000000"/>
          <w:sz w:val="32"/>
          <w:szCs w:val="32"/>
        </w:rPr>
        <w:t>市、区人民政府应当支持本市市场主体依托工业互联网平台与产业链上下游中小微企业协同合作，形成高效、高水平的产业链供应链体系。</w:t>
      </w:r>
    </w:p>
    <w:p>
      <w:pPr>
        <w:pStyle w:val="TOC2"/>
        <w:keepNext w:val="false"/>
        <w:keepLines w:val="false"/>
        <w:pageBreakBefore w:val="false"/>
        <w:numPr>
          <w:ilvl w:val="0"/>
          <w:numId w:val="0"/>
        </w:numPr>
        <w:kinsoku w:val="true"/>
        <w:overflowPunct w:val="true"/>
        <w:bidi w:val="0"/>
        <w:snapToGrid w:val="false"/>
        <w:spacing w:lineRule="exact" w:line="600"/>
        <w:ind w:firstLineChars="200" w:startChars="0" w:start="0" w:endChars="0" w:end="0"/>
        <w:jc w:val="both"/>
        <w:outlineLvl w:val="2"/>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 xml:space="preserve">第十四条  </w:t>
      </w:r>
      <w:r>
        <w:rPr>
          <w:rFonts w:ascii="仿宋_GB2312" w:hAnsi="仿宋_GB2312" w:cs="仿宋_GB2312" w:hint="eastAsia"/>
          <w:sz w:val="32"/>
          <w:szCs w:val="32"/>
        </w:rPr>
        <w:t>自然资源部门应当会同</w:t>
      </w:r>
      <w:r>
        <w:rPr>
          <w:rFonts w:ascii="仿宋_GB2312" w:hAnsi="仿宋_GB2312" w:cs="仿宋_GB2312" w:hint="eastAsia"/>
          <w:i w:val="false"/>
          <w:iCs w:val="false"/>
          <w:sz w:val="32"/>
          <w:szCs w:val="32"/>
          <w:u w:val="none"/>
        </w:rPr>
        <w:t>有关</w:t>
      </w:r>
      <w:r>
        <w:rPr>
          <w:rFonts w:ascii="仿宋_GB2312" w:hAnsi="仿宋_GB2312" w:cs="仿宋_GB2312" w:hint="eastAsia"/>
          <w:sz w:val="32"/>
          <w:szCs w:val="32"/>
        </w:rPr>
        <w:t>部门</w:t>
      </w:r>
      <w:r>
        <w:rPr>
          <w:rFonts w:ascii="仿宋_GB2312" w:hAnsi="仿宋_GB2312" w:cs="仿宋_GB2312" w:hint="eastAsia"/>
          <w:i w:val="false"/>
          <w:iCs w:val="false"/>
          <w:sz w:val="32"/>
          <w:szCs w:val="32"/>
          <w:u w:val="none"/>
        </w:rPr>
        <w:t>依法为市场主体提供</w:t>
      </w:r>
      <w:r>
        <w:rPr>
          <w:rFonts w:ascii="仿宋_GB2312" w:hAnsi="仿宋_GB2312" w:cs="仿宋_GB2312" w:hint="eastAsia"/>
          <w:sz w:val="32"/>
          <w:szCs w:val="32"/>
        </w:rPr>
        <w:t>建设用地使用权及房屋所有权首次登记、转移登记等</w:t>
      </w:r>
      <w:r>
        <w:rPr>
          <w:rFonts w:ascii="仿宋_GB2312" w:hAnsi="仿宋_GB2312" w:cs="仿宋_GB2312" w:hint="eastAsia"/>
          <w:i w:val="false"/>
          <w:iCs w:val="false"/>
          <w:sz w:val="32"/>
          <w:szCs w:val="32"/>
          <w:u w:val="none"/>
        </w:rPr>
        <w:t>不动产登记服务</w:t>
      </w:r>
      <w:r>
        <w:rPr>
          <w:rFonts w:ascii="仿宋_GB2312" w:hAnsi="仿宋_GB2312" w:cs="仿宋_GB2312" w:hint="eastAsia"/>
          <w:sz w:val="32"/>
          <w:szCs w:val="32"/>
        </w:rPr>
        <w:t>，并为市场主体提供不动产登记</w:t>
      </w:r>
      <w:r>
        <w:rPr>
          <w:rFonts w:ascii="仿宋_GB2312" w:hAnsi="仿宋_GB2312" w:cs="仿宋_GB2312" w:hint="eastAsia"/>
          <w:color w:val="000000"/>
          <w:sz w:val="32"/>
          <w:szCs w:val="32"/>
        </w:rPr>
        <w:t>“</w:t>
      </w:r>
      <w:r>
        <w:rPr>
          <w:rFonts w:ascii="仿宋_GB2312" w:hAnsi="仿宋_GB2312" w:cs="仿宋_GB2312" w:hint="eastAsia"/>
          <w:sz w:val="32"/>
          <w:szCs w:val="32"/>
        </w:rPr>
        <w:t>线上一网通办</w:t>
      </w:r>
      <w:r>
        <w:rPr>
          <w:rFonts w:ascii="仿宋_GB2312" w:hAnsi="仿宋_GB2312" w:cs="仿宋_GB2312" w:hint="eastAsia"/>
          <w:b w:val="false"/>
          <w:bCs w:val="false"/>
          <w:color w:val="000000"/>
          <w:sz w:val="32"/>
          <w:szCs w:val="32"/>
        </w:rPr>
        <w:t>”</w:t>
      </w:r>
      <w:r>
        <w:rPr>
          <w:rFonts w:ascii="仿宋_GB2312" w:hAnsi="仿宋_GB2312" w:cs="仿宋_GB2312" w:hint="eastAsia"/>
          <w:sz w:val="32"/>
          <w:szCs w:val="32"/>
        </w:rPr>
        <w:t>、</w:t>
      </w:r>
      <w:r>
        <w:rPr>
          <w:rFonts w:ascii="仿宋_GB2312" w:hAnsi="仿宋_GB2312" w:cs="仿宋_GB2312" w:hint="eastAsia"/>
          <w:color w:val="000000"/>
          <w:sz w:val="32"/>
          <w:szCs w:val="32"/>
        </w:rPr>
        <w:t>“</w:t>
      </w:r>
      <w:r>
        <w:rPr>
          <w:rFonts w:ascii="仿宋_GB2312" w:hAnsi="仿宋_GB2312" w:cs="仿宋_GB2312" w:hint="eastAsia"/>
          <w:sz w:val="32"/>
          <w:szCs w:val="32"/>
        </w:rPr>
        <w:t>线下一窗通办</w:t>
      </w:r>
      <w:r>
        <w:rPr>
          <w:rFonts w:ascii="仿宋_GB2312" w:hAnsi="仿宋_GB2312" w:cs="仿宋_GB2312" w:hint="eastAsia"/>
          <w:color w:val="000000"/>
          <w:sz w:val="32"/>
          <w:szCs w:val="32"/>
        </w:rPr>
        <w:t>”</w:t>
      </w:r>
      <w:r>
        <w:rPr>
          <w:rFonts w:ascii="仿宋_GB2312" w:hAnsi="仿宋_GB2312" w:cs="仿宋_GB2312" w:hint="eastAsia"/>
          <w:sz w:val="32"/>
          <w:szCs w:val="32"/>
        </w:rPr>
        <w:t>服务。</w:t>
      </w:r>
    </w:p>
    <w:p>
      <w:pPr>
        <w:pStyle w:val="Default"/>
        <w:keepNext w:val="false"/>
        <w:keepLines w:val="false"/>
        <w:pageBreakBefore w:val="false"/>
        <w:kinsoku w:val="true"/>
        <w:overflowPunct w:val="true"/>
        <w:bidi w:val="0"/>
        <w:snapToGrid w:val="false"/>
        <w:spacing w:lineRule="exact" w:line="60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kern w:val="2"/>
          <w:sz w:val="32"/>
          <w:szCs w:val="32"/>
        </w:rPr>
        <w:t>自然资源部门应当根据国家和省市不动产登记资料查询的相关规定，按照不动产坐落位置、不动产权属证书号、不动产单元号等索引信息，为市场主体免费提供非住宅类且权利人为法人和非法人组织的登记信息、地籍图信息以及不动产是否存在他项权利、查封等登记信息的查询服务，但涉及国家秘密的除外。</w:t>
      </w:r>
    </w:p>
    <w:p>
      <w:pPr>
        <w:pStyle w:val="Normal"/>
        <w:keepNext w:val="false"/>
        <w:keepLines w:val="false"/>
        <w:pageBreakBefore w:val="false"/>
        <w:numPr>
          <w:ilvl w:val="0"/>
          <w:numId w:val="0"/>
        </w:numPr>
        <w:kinsoku w:val="true"/>
        <w:overflowPunct w:val="true"/>
        <w:bidi w:val="0"/>
        <w:snapToGrid w:val="false"/>
        <w:spacing w:lineRule="exact" w:line="600"/>
        <w:ind w:firstLineChars="200" w:startChars="0" w:start="0" w:endChars="0" w:end="0"/>
        <w:jc w:val="both"/>
        <w:outlineLvl w:val="2"/>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 xml:space="preserve">第十五条  </w:t>
      </w:r>
      <w:r>
        <w:rPr>
          <w:rFonts w:ascii="仿宋_GB2312" w:hAnsi="仿宋_GB2312" w:cs="仿宋_GB2312" w:hint="eastAsia"/>
          <w:sz w:val="32"/>
          <w:szCs w:val="32"/>
        </w:rPr>
        <w:t>税务机关应当</w:t>
      </w:r>
      <w:r>
        <w:rPr>
          <w:rFonts w:ascii="仿宋_GB2312" w:hAnsi="仿宋_GB2312" w:cs="仿宋_GB2312" w:hint="eastAsia"/>
          <w:i w:val="false"/>
          <w:iCs w:val="false"/>
          <w:sz w:val="32"/>
          <w:szCs w:val="32"/>
          <w:u w:val="none"/>
        </w:rPr>
        <w:t>通过下列方式</w:t>
      </w:r>
      <w:r>
        <w:rPr>
          <w:rFonts w:ascii="仿宋_GB2312" w:hAnsi="仿宋_GB2312" w:cs="仿宋_GB2312" w:hint="eastAsia"/>
          <w:sz w:val="32"/>
          <w:szCs w:val="32"/>
        </w:rPr>
        <w:t>为市场主体提供持续优化的税费服务，切实减轻市场主体办税缴费负担：</w:t>
      </w:r>
    </w:p>
    <w:p>
      <w:pPr>
        <w:pStyle w:val="Normal"/>
        <w:keepNext w:val="false"/>
        <w:keepLines w:val="false"/>
        <w:pageBreakBefore w:val="false"/>
        <w:kinsoku w:val="true"/>
        <w:overflowPunct w:val="true"/>
        <w:bidi w:val="0"/>
        <w:snapToGrid w:val="false"/>
        <w:spacing w:lineRule="exact" w:line="60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（一）推广电子证照应用，精简办税缴费资料，</w:t>
      </w:r>
      <w:r>
        <w:rPr>
          <w:rFonts w:ascii="仿宋_GB2312" w:hAnsi="仿宋_GB2312" w:cs="仿宋_GB2312" w:hint="eastAsia"/>
          <w:i w:val="false"/>
          <w:iCs w:val="false"/>
          <w:sz w:val="32"/>
          <w:szCs w:val="32"/>
          <w:u w:val="none"/>
        </w:rPr>
        <w:t>压缩办税</w:t>
      </w:r>
      <w:r>
        <w:rPr>
          <w:rFonts w:ascii="仿宋_GB2312" w:hAnsi="仿宋_GB2312" w:cs="仿宋_GB2312" w:hint="eastAsia"/>
          <w:sz w:val="32"/>
          <w:szCs w:val="32"/>
        </w:rPr>
        <w:t>流程，全面推行税务证明事项告知承诺制，涉税资料由市场主体留存备查；</w:t>
      </w:r>
    </w:p>
    <w:p>
      <w:pPr>
        <w:pStyle w:val="Normal"/>
        <w:keepNext w:val="false"/>
        <w:keepLines w:val="false"/>
        <w:pageBreakBefore w:val="false"/>
        <w:kinsoku w:val="true"/>
        <w:overflowPunct w:val="true"/>
        <w:bidi w:val="0"/>
        <w:snapToGrid w:val="false"/>
        <w:spacing w:lineRule="exact" w:line="60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（二）减少纳税缴费次数和时间，</w:t>
      </w:r>
      <w:r>
        <w:rPr>
          <w:rFonts w:ascii="仿宋_GB2312" w:hAnsi="仿宋_GB2312" w:cs="仿宋_GB2312" w:hint="eastAsia"/>
          <w:i w:val="false"/>
          <w:iCs w:val="false"/>
          <w:sz w:val="32"/>
          <w:szCs w:val="32"/>
          <w:u w:val="none"/>
        </w:rPr>
        <w:t>提供</w:t>
      </w:r>
      <w:r>
        <w:rPr>
          <w:rFonts w:ascii="仿宋_GB2312" w:hAnsi="仿宋_GB2312" w:cs="仿宋_GB2312" w:hint="eastAsia"/>
          <w:sz w:val="32"/>
          <w:szCs w:val="32"/>
        </w:rPr>
        <w:t>税费合并申报服务，明确正常出口退税的办理时限；</w:t>
      </w:r>
    </w:p>
    <w:p>
      <w:pPr>
        <w:pStyle w:val="Normal"/>
        <w:keepNext w:val="false"/>
        <w:keepLines w:val="false"/>
        <w:pageBreakBefore w:val="false"/>
        <w:kinsoku w:val="true"/>
        <w:overflowPunct w:val="true"/>
        <w:bidi w:val="0"/>
        <w:snapToGrid w:val="false"/>
        <w:spacing w:lineRule="exact" w:line="60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（三）实行纳税业务线上集约处理，</w:t>
      </w:r>
      <w:r>
        <w:rPr>
          <w:rFonts w:ascii="仿宋_GB2312" w:hAnsi="仿宋_GB2312" w:cs="仿宋_GB2312" w:hint="eastAsia"/>
          <w:i w:val="false"/>
          <w:iCs w:val="false"/>
          <w:sz w:val="32"/>
          <w:szCs w:val="32"/>
          <w:u w:val="none"/>
        </w:rPr>
        <w:t>提供</w:t>
      </w:r>
      <w:r>
        <w:rPr>
          <w:rFonts w:ascii="仿宋_GB2312" w:hAnsi="仿宋_GB2312" w:cs="仿宋_GB2312" w:hint="eastAsia"/>
          <w:sz w:val="32"/>
          <w:szCs w:val="32"/>
        </w:rPr>
        <w:t>“非接触式”办税缴费服务；</w:t>
      </w:r>
    </w:p>
    <w:p>
      <w:pPr>
        <w:pStyle w:val="Normal"/>
        <w:keepNext w:val="false"/>
        <w:keepLines w:val="false"/>
        <w:pageBreakBefore w:val="false"/>
        <w:kinsoku w:val="true"/>
        <w:overflowPunct w:val="true"/>
        <w:bidi w:val="0"/>
        <w:snapToGrid w:val="false"/>
        <w:spacing w:lineRule="exact" w:line="60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（四）提供税费优惠政策直达快享服务，构建网络化征纳互动群组，智能识别个性需求，精准提供线上服务。</w:t>
      </w:r>
    </w:p>
    <w:p>
      <w:pPr>
        <w:pStyle w:val="TOC2"/>
        <w:keepNext w:val="false"/>
        <w:keepLines w:val="false"/>
        <w:pageBreakBefore w:val="false"/>
        <w:kinsoku w:val="true"/>
        <w:overflowPunct w:val="true"/>
        <w:bidi w:val="0"/>
        <w:snapToGrid w:val="false"/>
        <w:spacing w:lineRule="exact" w:line="600"/>
        <w:ind w:firstLineChars="200" w:startChars="0" w:start="0" w:endChars="0" w:end="0"/>
        <w:jc w:val="both"/>
        <w:rPr>
          <w:rFonts w:ascii="仿宋_GB2312" w:hAnsi="仿宋_GB2312" w:eastAsia="仿宋_GB2312" w:cs="仿宋_GB2312" w:hint="eastAsia"/>
          <w:i w:val="false"/>
          <w:iCs w:val="false"/>
          <w:color w:val="000000"/>
          <w:kern w:val="0"/>
          <w:sz w:val="32"/>
          <w:szCs w:val="32"/>
          <w:u w:val="none"/>
        </w:rPr>
      </w:pPr>
      <w:r>
        <w:rPr>
          <w:rFonts w:ascii="黑体" w:hAnsi="黑体" w:cs="黑体" w:hint="eastAsia" w:eastAsia="黑体"/>
          <w:b w:val="false"/>
          <w:bCs w:val="false"/>
          <w:sz w:val="32"/>
          <w:szCs w:val="32"/>
        </w:rPr>
        <w:t xml:space="preserve">第十六条 </w:t>
      </w:r>
      <w:r>
        <w:rPr>
          <w:rFonts w:ascii="仿宋_GB2312" w:hAnsi="仿宋_GB2312" w:cs="仿宋_GB2312" w:hint="eastAsia"/>
          <w:b w:val="false"/>
          <w:bCs w:val="false"/>
          <w:sz w:val="32"/>
          <w:szCs w:val="32"/>
        </w:rPr>
        <w:t xml:space="preserve"> </w:t>
      </w:r>
      <w:r>
        <w:rPr>
          <w:rFonts w:ascii="仿宋_GB2312" w:hAnsi="仿宋_GB2312" w:cs="仿宋_GB2312" w:hint="eastAsia"/>
          <w:i w:val="false"/>
          <w:iCs w:val="false"/>
          <w:color w:val="000000"/>
          <w:kern w:val="0"/>
          <w:sz w:val="32"/>
          <w:szCs w:val="32"/>
          <w:u w:val="none"/>
        </w:rPr>
        <w:t>市人民政府鼓励金融机构创新知识产权领域的投融资产品，建立多样化的知识产权融资模式；</w:t>
      </w:r>
      <w:r>
        <w:rPr>
          <w:rFonts w:ascii="仿宋_GB2312" w:hAnsi="仿宋_GB2312" w:cs="仿宋_GB2312" w:hint="eastAsia"/>
          <w:color w:val="000000"/>
          <w:sz w:val="32"/>
          <w:szCs w:val="32"/>
        </w:rPr>
        <w:t>支持商业银行运用大数据等技术建立风险定价和管控模型，优化对中小微企业的信贷审批流程和模式，提升市场主体融资便利度。</w:t>
      </w:r>
    </w:p>
    <w:p>
      <w:pPr>
        <w:pStyle w:val="Normal"/>
        <w:keepNext w:val="false"/>
        <w:keepLines w:val="false"/>
        <w:pageBreakBefore w:val="false"/>
        <w:numPr>
          <w:ilvl w:val="0"/>
          <w:numId w:val="0"/>
        </w:numPr>
        <w:tabs>
          <w:tab w:val="clear" w:pos="420"/>
          <w:tab w:val="left" w:pos="750" w:leader="none"/>
        </w:tabs>
        <w:kinsoku w:val="true"/>
        <w:overflowPunct w:val="true"/>
        <w:bidi w:val="0"/>
        <w:snapToGrid w:val="false"/>
        <w:spacing w:lineRule="exact" w:line="600"/>
        <w:ind w:firstLineChars="200" w:startChars="0" w:start="0" w:endChars="0" w:end="0"/>
        <w:jc w:val="both"/>
        <w:outlineLvl w:val="2"/>
        <w:rPr>
          <w:rFonts w:ascii="仿宋_GB2312" w:hAnsi="仿宋_GB2312" w:eastAsia="仿宋_GB2312" w:cs="仿宋_GB2312" w:hint="eastAsia"/>
          <w:color w:val="000000"/>
          <w:kern w:val="0"/>
          <w:sz w:val="32"/>
          <w:szCs w:val="32"/>
        </w:rPr>
      </w:pPr>
      <w:r>
        <w:rPr>
          <w:rFonts w:ascii="仿宋_GB2312" w:hAnsi="仿宋_GB2312" w:cs="仿宋_GB2312" w:hint="eastAsia"/>
          <w:i w:val="false"/>
          <w:iCs w:val="false"/>
          <w:color w:val="000000"/>
          <w:kern w:val="0"/>
          <w:sz w:val="32"/>
          <w:szCs w:val="32"/>
          <w:u w:val="none"/>
        </w:rPr>
        <w:t>市人民政</w:t>
      </w:r>
      <w:r>
        <w:rPr>
          <w:rFonts w:ascii="仿宋_GB2312" w:hAnsi="仿宋_GB2312" w:cs="仿宋_GB2312" w:hint="eastAsia"/>
          <w:color w:val="000000"/>
          <w:kern w:val="2"/>
          <w:sz w:val="32"/>
          <w:szCs w:val="32"/>
        </w:rPr>
        <w:t>府有关部门和相关单位，应当为金融机构提供便捷有效的企业信用查询方式，及时有效准确反映企业信用信息。加强征信机构和信用评级机构发展，</w:t>
      </w:r>
      <w:r>
        <w:rPr>
          <w:rFonts w:ascii="仿宋_GB2312" w:hAnsi="仿宋_GB2312" w:cs="仿宋_GB2312" w:hint="eastAsia"/>
          <w:color w:val="000000"/>
          <w:kern w:val="0"/>
          <w:sz w:val="32"/>
          <w:szCs w:val="32"/>
        </w:rPr>
        <w:t>鼓励依法收集利用政务信息等数据资源。</w:t>
      </w:r>
    </w:p>
    <w:p>
      <w:pPr>
        <w:pStyle w:val="TOC2"/>
        <w:keepNext w:val="false"/>
        <w:keepLines w:val="false"/>
        <w:pageBreakBefore w:val="false"/>
        <w:kinsoku w:val="true"/>
        <w:overflowPunct w:val="true"/>
        <w:bidi w:val="0"/>
        <w:snapToGrid w:val="false"/>
        <w:spacing w:lineRule="exact" w:line="600"/>
        <w:ind w:firstLineChars="200" w:startChars="0" w:start="0" w:endChars="0" w:end="0"/>
        <w:jc w:val="both"/>
        <w:rPr>
          <w:rFonts w:ascii="仿宋_GB2312" w:hAnsi="仿宋_GB2312" w:eastAsia="仿宋_GB2312" w:cs="仿宋_GB2312" w:hint="eastAsia"/>
          <w:i/>
          <w:iCs/>
          <w:color w:val="000000"/>
          <w:kern w:val="0"/>
          <w:sz w:val="32"/>
          <w:szCs w:val="32"/>
          <w:u w:val="single"/>
        </w:rPr>
      </w:pPr>
      <w:r>
        <w:rPr>
          <w:rFonts w:ascii="仿宋_GB2312" w:hAnsi="仿宋_GB2312" w:cs="仿宋_GB2312" w:hint="eastAsia"/>
          <w:color w:val="000000"/>
          <w:sz w:val="32"/>
          <w:szCs w:val="32"/>
        </w:rPr>
        <w:t>市人民政府有关部门应当为中小微企业提供金融产品检索、融资对接等“一站式”金融服务。</w:t>
      </w:r>
    </w:p>
    <w:p>
      <w:pPr>
        <w:pStyle w:val="Normal"/>
        <w:keepNext w:val="false"/>
        <w:keepLines w:val="false"/>
        <w:pageBreakBefore w:val="false"/>
        <w:kinsoku w:val="true"/>
        <w:overflowPunct w:val="true"/>
        <w:bidi w:val="0"/>
        <w:snapToGrid w:val="false"/>
        <w:spacing w:lineRule="exact" w:line="600"/>
        <w:ind w:firstLine="64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市、区人民政府及</w:t>
      </w:r>
      <w:r>
        <w:rPr>
          <w:rFonts w:ascii="仿宋_GB2312" w:hAnsi="仿宋_GB2312" w:cs="仿宋_GB2312" w:hint="eastAsia"/>
          <w:b w:val="false"/>
          <w:bCs w:val="false"/>
          <w:sz w:val="32"/>
          <w:szCs w:val="32"/>
        </w:rPr>
        <w:t>其</w:t>
      </w:r>
      <w:r>
        <w:rPr>
          <w:rFonts w:ascii="仿宋_GB2312" w:hAnsi="仿宋_GB2312" w:cs="仿宋_GB2312" w:hint="eastAsia"/>
          <w:color w:val="000000"/>
          <w:kern w:val="0"/>
          <w:sz w:val="32"/>
          <w:szCs w:val="32"/>
        </w:rPr>
        <w:t>有关部门应当在符合条件的中小企业依法发行股票、债券以及其他融资工具时</w:t>
      </w:r>
      <w:r>
        <w:rPr>
          <w:rFonts w:eastAsia="仿宋_GB2312" w:cs="仿宋_GB2312" w:hint="eastAsia" w:ascii="仿宋_GB2312" w:hAnsi="仿宋_GB2312"/>
          <w:color w:val="000000"/>
          <w:kern w:val="0"/>
          <w:sz w:val="32"/>
          <w:szCs w:val="32"/>
        </w:rPr>
        <w:t>,</w:t>
      </w:r>
      <w:r>
        <w:rPr>
          <w:rFonts w:ascii="仿宋_GB2312" w:hAnsi="仿宋_GB2312" w:cs="仿宋_GB2312" w:hint="eastAsia"/>
          <w:color w:val="000000"/>
          <w:kern w:val="0"/>
          <w:sz w:val="32"/>
          <w:szCs w:val="32"/>
        </w:rPr>
        <w:t>提供便捷高效的政务服务，拓宽市场主体融资渠道。</w:t>
      </w:r>
    </w:p>
    <w:p>
      <w:pPr>
        <w:pStyle w:val="Normal"/>
        <w:keepNext w:val="false"/>
        <w:keepLines w:val="false"/>
        <w:pageBreakBefore w:val="false"/>
        <w:tabs>
          <w:tab w:val="clear" w:pos="420"/>
          <w:tab w:val="left" w:pos="750" w:leader="none"/>
        </w:tabs>
        <w:kinsoku w:val="true"/>
        <w:overflowPunct w:val="true"/>
        <w:bidi w:val="0"/>
        <w:snapToGrid w:val="false"/>
        <w:spacing w:lineRule="exact" w:line="600"/>
        <w:ind w:firstLine="640" w:end="0"/>
        <w:jc w:val="both"/>
        <w:rPr>
          <w:rFonts w:ascii="仿宋_GB2312" w:hAnsi="仿宋_GB2312" w:eastAsia="仿宋_GB2312" w:cs="仿宋_GB2312" w:hint="eastAsia"/>
          <w:color w:val="000000"/>
          <w:kern w:val="0"/>
          <w:sz w:val="32"/>
          <w:szCs w:val="32"/>
        </w:rPr>
      </w:pPr>
      <w:r>
        <w:rPr>
          <w:rFonts w:ascii="黑体" w:hAnsi="黑体" w:cs="黑体" w:hint="eastAsia" w:eastAsia="黑体"/>
          <w:b w:val="false"/>
          <w:bCs w:val="false"/>
          <w:color w:val="000000"/>
          <w:sz w:val="32"/>
          <w:szCs w:val="32"/>
        </w:rPr>
        <w:t xml:space="preserve">第十七条  </w:t>
      </w:r>
      <w:r>
        <w:rPr>
          <w:rFonts w:ascii="仿宋_GB2312" w:hAnsi="仿宋_GB2312" w:cs="仿宋_GB2312" w:hint="eastAsia"/>
          <w:i w:val="false"/>
          <w:iCs w:val="false"/>
          <w:color w:val="000000"/>
          <w:sz w:val="32"/>
          <w:szCs w:val="32"/>
          <w:u w:val="none"/>
        </w:rPr>
        <w:t>市、区</w:t>
      </w:r>
      <w:r>
        <w:rPr>
          <w:rFonts w:ascii="仿宋_GB2312" w:hAnsi="仿宋_GB2312" w:cs="仿宋_GB2312" w:hint="eastAsia"/>
          <w:color w:val="000000"/>
          <w:kern w:val="0"/>
          <w:sz w:val="32"/>
          <w:szCs w:val="32"/>
        </w:rPr>
        <w:t>人民政府及商务等有关部门应当依法优化通关流程，完善提前申报、两步申报等报关模式，深化申报容错机制和主动披露容错机制，积极推广各类便利化口岸通关措施；对符合规定条件的市场主体以及商品，依法依规实行先放行后检测、先放行后缴税、先放行后改单等管理。</w:t>
      </w:r>
    </w:p>
    <w:p>
      <w:pPr>
        <w:pStyle w:val="Normal"/>
        <w:keepNext w:val="false"/>
        <w:keepLines w:val="false"/>
        <w:pageBreakBefore w:val="false"/>
        <w:tabs>
          <w:tab w:val="clear" w:pos="420"/>
          <w:tab w:val="left" w:pos="750" w:leader="none"/>
        </w:tabs>
        <w:kinsoku w:val="true"/>
        <w:overflowPunct w:val="true"/>
        <w:bidi w:val="0"/>
        <w:snapToGrid w:val="false"/>
        <w:spacing w:lineRule="exact" w:line="600"/>
        <w:ind w:firstLine="640" w:end="0"/>
        <w:jc w:val="both"/>
        <w:rPr>
          <w:rFonts w:ascii="仿宋_GB2312" w:hAnsi="仿宋_GB2312" w:eastAsia="仿宋_GB2312" w:cs="仿宋_GB2312" w:hint="eastAsia"/>
          <w:color w:val="000000"/>
          <w:kern w:val="0"/>
          <w:sz w:val="32"/>
          <w:szCs w:val="32"/>
          <w:highlight w:val="none"/>
        </w:rPr>
      </w:pPr>
      <w:r>
        <w:rPr>
          <w:rFonts w:ascii="仿宋_GB2312" w:hAnsi="仿宋_GB2312" w:cs="仿宋_GB2312" w:hint="eastAsia"/>
          <w:i w:val="false"/>
          <w:iCs w:val="false"/>
          <w:color w:val="000000"/>
          <w:kern w:val="0"/>
          <w:sz w:val="32"/>
          <w:szCs w:val="32"/>
          <w:u w:val="none"/>
        </w:rPr>
        <w:t>市人民政府应当</w:t>
      </w:r>
      <w:r>
        <w:rPr>
          <w:rFonts w:ascii="仿宋_GB2312" w:hAnsi="仿宋_GB2312" w:cs="仿宋_GB2312" w:hint="eastAsia"/>
          <w:color w:val="000000"/>
          <w:kern w:val="0"/>
          <w:sz w:val="32"/>
          <w:szCs w:val="32"/>
        </w:rPr>
        <w:t>完善国际贸易“单一窗口”佛山分平台和“智慧码头”公共服务系统的建设、推广和应用，</w:t>
      </w:r>
      <w:r>
        <w:rPr>
          <w:rFonts w:ascii="仿宋_GB2312" w:hAnsi="仿宋_GB2312" w:cs="仿宋_GB2312" w:hint="eastAsia"/>
          <w:i w:val="false"/>
          <w:iCs w:val="false"/>
          <w:color w:val="000000"/>
          <w:kern w:val="0"/>
          <w:sz w:val="32"/>
          <w:szCs w:val="32"/>
          <w:u w:val="none"/>
        </w:rPr>
        <w:t>推动</w:t>
      </w:r>
      <w:r>
        <w:rPr>
          <w:rFonts w:ascii="仿宋_GB2312" w:hAnsi="仿宋_GB2312" w:cs="仿宋_GB2312" w:hint="eastAsia"/>
          <w:color w:val="000000"/>
          <w:kern w:val="0"/>
          <w:sz w:val="32"/>
          <w:szCs w:val="32"/>
        </w:rPr>
        <w:t>口岸查验有关部门、市场主体使用系统对接合作，充分发挥公共信息平台联动作用。</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商务、交通运输、发展改革、市场监督管理等部门应当加强口岸收费目录清单管理。收费主体应当在国际贸易“单一窗口”</w:t>
      </w:r>
      <w:r>
        <w:rPr>
          <w:rFonts w:ascii="CESI仿宋-GB2312;方正仿宋_GBK" w:hAnsi="CESI仿宋-GB2312;方正仿宋_GBK" w:cs="CESI仿宋-GB2312;方正仿宋_GBK" w:hint="eastAsia" w:eastAsia="CESI仿宋-GB2312;方正仿宋_GBK"/>
          <w:color w:val="000000"/>
          <w:sz w:val="32"/>
          <w:szCs w:val="32"/>
        </w:rPr>
        <w:t>平台公</w:t>
      </w:r>
      <w:r>
        <w:rPr>
          <w:rFonts w:ascii="仿宋_GB2312" w:hAnsi="仿宋_GB2312" w:cs="仿宋_GB2312" w:hint="eastAsia"/>
          <w:color w:val="000000"/>
          <w:sz w:val="32"/>
          <w:szCs w:val="32"/>
        </w:rPr>
        <w:t>开收费目录和收费标准，在目录以外不得收取费用。</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 w:hAnsi="仿宋_GB2312" w:eastAsia="仿宋_GB2312" w:cs="仿宋_GB2312" w:hint="eastAsia"/>
          <w:i w:val="false"/>
          <w:iCs w:val="false"/>
          <w:color w:val="000000"/>
          <w:sz w:val="32"/>
          <w:szCs w:val="32"/>
          <w:u w:val="none"/>
        </w:rPr>
      </w:pPr>
      <w:r>
        <w:rPr>
          <w:rFonts w:ascii="黑体" w:hAnsi="黑体" w:cs="黑体" w:hint="eastAsia" w:eastAsia="黑体"/>
          <w:i w:val="false"/>
          <w:iCs w:val="false"/>
          <w:color w:val="000000"/>
          <w:sz w:val="32"/>
          <w:szCs w:val="32"/>
          <w:u w:val="none"/>
        </w:rPr>
        <w:t xml:space="preserve">第十八条  </w:t>
      </w:r>
      <w:r>
        <w:rPr>
          <w:rFonts w:ascii="仿宋_GB2312" w:hAnsi="仿宋_GB2312" w:cs="仿宋_GB2312" w:hint="eastAsia"/>
          <w:color w:val="000000"/>
          <w:kern w:val="0"/>
          <w:sz w:val="32"/>
          <w:szCs w:val="32"/>
        </w:rPr>
        <w:t>市、区人民政府应当规范和优化市场主体数据信息报送管理，通过数字化手段实现有关数据信息在主管部门之间的共享，避免向市场主体重复收集数据信息。</w:t>
      </w:r>
    </w:p>
    <w:p>
      <w:pPr>
        <w:pStyle w:val="Style17"/>
        <w:keepNext w:val="false"/>
        <w:keepLines w:val="false"/>
        <w:pageBreakBefore w:val="false"/>
        <w:widowControl w:val="false"/>
        <w:kinsoku w:val="true"/>
        <w:overflowPunct w:val="true"/>
        <w:autoSpaceDE w:val="true"/>
        <w:bidi w:val="0"/>
        <w:snapToGrid w:val="false"/>
        <w:spacing w:lineRule="exact" w:line="600"/>
        <w:ind w:firstLineChars="0" w:firstLine="0" w:endChars="0" w:end="0"/>
        <w:jc w:val="both"/>
        <w:textAlignment w:val="auto"/>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第十九条  </w:t>
      </w:r>
      <w:r>
        <w:rPr>
          <w:rFonts w:ascii="仿宋_GB2312" w:hAnsi="仿宋_GB2312" w:cs="仿宋_GB2312" w:hint="eastAsia" w:eastAsia="仿宋_GB2312"/>
          <w:sz w:val="32"/>
          <w:szCs w:val="32"/>
        </w:rPr>
        <w:t>因</w:t>
      </w:r>
      <w:r>
        <w:rPr>
          <w:rFonts w:ascii="仿宋_GB2312" w:hAnsi="仿宋_GB2312" w:cs="仿宋_GB2312" w:hint="eastAsia" w:eastAsia="仿宋_GB2312"/>
          <w:color w:val="000000"/>
          <w:kern w:val="0"/>
          <w:sz w:val="32"/>
          <w:szCs w:val="32"/>
        </w:rPr>
        <w:t>自然灾害、事故灾难或者公共卫生事件等突发事件造成市场主体普遍性生产经营困难的，市、区人民政府及其有关部门应当采取下列措施，维护生产秩序和</w:t>
      </w:r>
      <w:r>
        <w:rPr>
          <w:rFonts w:ascii="仿宋_GB2312" w:hAnsi="仿宋_GB2312" w:cs="仿宋_GB2312" w:hint="eastAsia" w:eastAsia="仿宋_GB2312"/>
          <w:sz w:val="32"/>
          <w:szCs w:val="32"/>
        </w:rPr>
        <w:t>产业链供应链稳定，保障市场主体的财产安全和自主经营权利：</w:t>
      </w:r>
    </w:p>
    <w:p>
      <w:pPr>
        <w:pStyle w:val="Style17"/>
        <w:keepNext w:val="false"/>
        <w:keepLines w:val="false"/>
        <w:pageBreakBefore w:val="false"/>
        <w:widowControl w:val="false"/>
        <w:kinsoku w:val="true"/>
        <w:overflowPunct w:val="true"/>
        <w:autoSpaceDE w:val="true"/>
        <w:bidi w:val="0"/>
        <w:snapToGrid w:val="false"/>
        <w:spacing w:lineRule="exact" w:line="600"/>
        <w:ind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（一）建立突发事件动态分析评估和反馈机制，对易遭遇风险的行业、企业、设施、场所等制定安全保护应急处理方案，纳入应急预案；</w:t>
      </w:r>
    </w:p>
    <w:p>
      <w:pPr>
        <w:pStyle w:val="Style17"/>
        <w:keepNext w:val="false"/>
        <w:keepLines w:val="false"/>
        <w:pageBreakBefore w:val="false"/>
        <w:widowControl w:val="false"/>
        <w:kinsoku w:val="true"/>
        <w:overflowPunct w:val="true"/>
        <w:autoSpaceDE w:val="true"/>
        <w:bidi w:val="0"/>
        <w:snapToGrid w:val="false"/>
        <w:spacing w:lineRule="exact" w:line="600"/>
        <w:ind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（二）建立有效的社会动员机制，鼓励市场主体开展互助，采取调整薪酬、弹性工时、轮岗轮休等方式，稳定劳动关系，维持运行并及时复工复产；</w:t>
      </w:r>
    </w:p>
    <w:p>
      <w:pPr>
        <w:pStyle w:val="Style17"/>
        <w:keepNext w:val="false"/>
        <w:keepLines w:val="false"/>
        <w:pageBreakBefore w:val="false"/>
        <w:widowControl w:val="false"/>
        <w:kinsoku w:val="true"/>
        <w:overflowPunct w:val="true"/>
        <w:autoSpaceDE w:val="true"/>
        <w:bidi w:val="0"/>
        <w:snapToGrid w:val="false"/>
        <w:spacing w:lineRule="exact" w:line="600"/>
        <w:ind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（三）组织评估突发事件对本地区经济和重点行业的影响，根据评估结果精准制定实施救助、补偿、补贴、减免、返还、安置等措施；</w:t>
      </w:r>
    </w:p>
    <w:p>
      <w:pPr>
        <w:pStyle w:val="Style17"/>
        <w:keepNext w:val="false"/>
        <w:keepLines w:val="false"/>
        <w:pageBreakBefore w:val="false"/>
        <w:widowControl w:val="false"/>
        <w:kinsoku w:val="true"/>
        <w:overflowPunct w:val="true"/>
        <w:autoSpaceDE w:val="true"/>
        <w:bidi w:val="0"/>
        <w:snapToGrid w:val="false"/>
        <w:spacing w:lineRule="exact" w:line="600"/>
        <w:ind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（四）鼓励金融机构给予延期还贷、展期续贷、降低利率和减免利息支持；</w:t>
      </w:r>
    </w:p>
    <w:p>
      <w:pPr>
        <w:pStyle w:val="Style17"/>
        <w:keepNext w:val="false"/>
        <w:keepLines w:val="false"/>
        <w:pageBreakBefore w:val="false"/>
        <w:widowControl w:val="false"/>
        <w:kinsoku w:val="true"/>
        <w:overflowPunct w:val="true"/>
        <w:autoSpaceDE w:val="true"/>
        <w:bidi w:val="0"/>
        <w:snapToGrid w:val="false"/>
        <w:spacing w:lineRule="exact" w:line="600"/>
        <w:ind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（五）为市场主体寻求法律救济提供必要帮助；</w:t>
      </w:r>
    </w:p>
    <w:p>
      <w:pPr>
        <w:pStyle w:val="Style17"/>
        <w:keepNext w:val="false"/>
        <w:keepLines w:val="false"/>
        <w:pageBreakBefore w:val="false"/>
        <w:widowControl w:val="false"/>
        <w:kinsoku w:val="true"/>
        <w:overflowPunct w:val="true"/>
        <w:autoSpaceDE w:val="true"/>
        <w:bidi w:val="0"/>
        <w:snapToGrid w:val="false"/>
        <w:spacing w:lineRule="exact" w:line="600"/>
        <w:ind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（六）对突发事件中临时征用的应急物资，应当及时返还，无法返还的，应当依法补偿。</w:t>
      </w:r>
    </w:p>
    <w:p>
      <w:pPr>
        <w:pStyle w:val="Normal"/>
        <w:keepNext w:val="false"/>
        <w:keepLines w:val="false"/>
        <w:pageBreakBefore w:val="false"/>
        <w:kinsoku w:val="true"/>
        <w:overflowPunct w:val="true"/>
        <w:bidi w:val="0"/>
        <w:snapToGrid w:val="false"/>
        <w:spacing w:lineRule="exact" w:line="600"/>
        <w:ind w:firstLineChars="200" w:startChars="0" w:start="0" w:endChars="0" w:end="0"/>
        <w:jc w:val="both"/>
        <w:rPr>
          <w:rFonts w:ascii="仿宋_GB2312" w:hAnsi="仿宋_GB2312" w:eastAsia="仿宋_GB2312" w:cs="仿宋_GB2312" w:hint="eastAsia"/>
        </w:rPr>
      </w:pPr>
      <w:r>
        <w:rPr>
          <w:rFonts w:ascii="黑体" w:hAnsi="黑体" w:cs="黑体" w:hint="eastAsia" w:eastAsia="黑体"/>
          <w:i w:val="false"/>
          <w:iCs w:val="false"/>
          <w:color w:val="000000"/>
          <w:sz w:val="32"/>
          <w:szCs w:val="32"/>
          <w:u w:val="none"/>
        </w:rPr>
        <w:t xml:space="preserve">第二十条  </w:t>
      </w:r>
      <w:r>
        <w:rPr>
          <w:rFonts w:ascii="仿宋_GB2312" w:hAnsi="仿宋_GB2312" w:cs="仿宋_GB2312" w:hint="eastAsia"/>
          <w:i w:val="false"/>
          <w:iCs w:val="false"/>
          <w:color w:val="000000"/>
          <w:sz w:val="32"/>
          <w:szCs w:val="32"/>
          <w:u w:val="none"/>
        </w:rPr>
        <w:t>市场监督管理部门</w:t>
      </w:r>
      <w:r>
        <w:rPr>
          <w:rFonts w:ascii="仿宋_GB2312" w:hAnsi="仿宋_GB2312" w:cs="仿宋_GB2312" w:hint="eastAsia"/>
          <w:color w:val="000000"/>
          <w:sz w:val="32"/>
          <w:szCs w:val="32"/>
        </w:rPr>
        <w:t>应当优化市场主体注销登记办理流程，实现注销申请跨部门预检、清税证明实时传送。对有债权债务的市场主体，在债权债务依法解决后及时办理注销。</w:t>
      </w:r>
    </w:p>
    <w:p>
      <w:pPr>
        <w:pStyle w:val="TOC2"/>
        <w:keepNext w:val="false"/>
        <w:keepLines w:val="false"/>
        <w:pageBreakBefore w:val="false"/>
        <w:kinsoku w:val="true"/>
        <w:overflowPunct w:val="true"/>
        <w:bidi w:val="0"/>
        <w:snapToGrid w:val="false"/>
        <w:spacing w:lineRule="exact" w:line="600"/>
        <w:rPr>
          <w:rFonts w:ascii="仿宋_GB2312" w:hAnsi="仿宋_GB2312" w:eastAsia="仿宋_GB2312" w:cs="仿宋_GB2312" w:hint="eastAsia"/>
          <w:sz w:val="28"/>
          <w:szCs w:val="28"/>
        </w:rPr>
      </w:pPr>
      <w:r>
        <w:rPr>
          <w:rFonts w:eastAsia="仿宋_GB2312" w:cs="仿宋_GB2312" w:hint="eastAsia" w:ascii="仿宋_GB2312" w:hAnsi="仿宋_GB2312"/>
          <w:sz w:val="28"/>
          <w:szCs w:val="28"/>
        </w:rPr>
      </w:r>
    </w:p>
    <w:p>
      <w:pPr>
        <w:pStyle w:val="Normal"/>
        <w:keepNext w:val="false"/>
        <w:keepLines w:val="false"/>
        <w:pageBreakBefore w:val="false"/>
        <w:numPr>
          <w:ilvl w:val="0"/>
          <w:numId w:val="1"/>
        </w:numPr>
        <w:kinsoku w:val="true"/>
        <w:overflowPunct w:val="true"/>
        <w:bidi w:val="0"/>
        <w:snapToGrid w:val="false"/>
        <w:spacing w:lineRule="exact" w:line="600"/>
        <w:ind w:firstLineChars="0" w:firstLine="0" w:startChars="0" w:start="0" w:endChars="0" w:end="0"/>
        <w:jc w:val="center"/>
        <w:outlineLvl w:val="1"/>
        <w:rPr>
          <w:rFonts w:ascii="黑体" w:hAnsi="黑体" w:eastAsia="黑体" w:cs="黑体" w:hint="eastAsia"/>
          <w:sz w:val="32"/>
          <w:szCs w:val="32"/>
          <w:lang w:eastAsia="zh-CN"/>
        </w:rPr>
      </w:pPr>
      <w:r>
        <w:rPr>
          <w:rFonts w:eastAsia="黑体" w:cs="黑体" w:hint="eastAsia" w:ascii="黑体" w:hAnsi="黑体"/>
          <w:sz w:val="32"/>
          <w:szCs w:val="32"/>
        </w:rPr>
        <w:t xml:space="preserve"> </w:t>
      </w:r>
      <w:r>
        <w:rPr>
          <w:rFonts w:ascii="黑体" w:hAnsi="黑体" w:cs="黑体" w:hint="eastAsia" w:eastAsia="黑体"/>
          <w:sz w:val="32"/>
          <w:szCs w:val="32"/>
          <w:lang w:eastAsia="zh-CN"/>
        </w:rPr>
        <w:t>公共服务</w:t>
      </w:r>
    </w:p>
    <w:p>
      <w:pPr>
        <w:pStyle w:val="TOC2"/>
        <w:keepNext w:val="false"/>
        <w:keepLines w:val="false"/>
        <w:pageBreakBefore w:val="false"/>
        <w:numPr>
          <w:ilvl w:val="0"/>
          <w:numId w:val="0"/>
        </w:numPr>
        <w:kinsoku w:val="true"/>
        <w:overflowPunct w:val="true"/>
        <w:bidi w:val="0"/>
        <w:snapToGrid w:val="false"/>
        <w:spacing w:lineRule="exact" w:line="600"/>
        <w:ind w:firstLineChars="0" w:firstLine="0" w:startChars="0" w:start="0" w:endChars="0" w:end="0"/>
        <w:rPr>
          <w:rFonts w:ascii="黑体" w:hAnsi="黑体" w:eastAsia="黑体" w:cs="黑体" w:hint="eastAsia"/>
          <w:sz w:val="28"/>
          <w:szCs w:val="28"/>
          <w:lang w:eastAsia="zh-CN"/>
        </w:rPr>
      </w:pPr>
      <w:r>
        <w:rPr>
          <w:rFonts w:eastAsia="黑体" w:cs="黑体" w:hint="eastAsia" w:ascii="黑体" w:hAnsi="黑体"/>
          <w:sz w:val="28"/>
          <w:szCs w:val="28"/>
          <w:lang w:eastAsia="zh-CN"/>
        </w:rPr>
      </w:r>
    </w:p>
    <w:p>
      <w:pPr>
        <w:pStyle w:val="Normal"/>
        <w:keepNext w:val="false"/>
        <w:keepLines w:val="false"/>
        <w:pageBreakBefore w:val="false"/>
        <w:numPr>
          <w:ilvl w:val="0"/>
          <w:numId w:val="0"/>
        </w:numPr>
        <w:kinsoku w:val="true"/>
        <w:overflowPunct w:val="true"/>
        <w:autoSpaceDE w:val="true"/>
        <w:bidi w:val="0"/>
        <w:snapToGrid w:val="false"/>
        <w:spacing w:lineRule="exact" w:line="600"/>
        <w:ind w:firstLine="640" w:end="0"/>
        <w:jc w:val="both"/>
        <w:textAlignment w:val="auto"/>
        <w:outlineLvl w:val="2"/>
        <w:rPr>
          <w:rFonts w:ascii="仿宋_GB2312" w:hAnsi="仿宋_GB2312" w:eastAsia="仿宋_GB2312" w:cs="仿宋_GB2312" w:hint="eastAsia"/>
          <w:color w:val="000000"/>
          <w:sz w:val="32"/>
          <w:szCs w:val="32"/>
        </w:rPr>
      </w:pPr>
      <w:r>
        <w:rPr>
          <w:rFonts w:ascii="黑体" w:hAnsi="黑体" w:cs="黑体" w:hint="eastAsia" w:eastAsia="黑体"/>
          <w:b w:val="false"/>
          <w:bCs w:val="false"/>
          <w:sz w:val="32"/>
          <w:szCs w:val="32"/>
        </w:rPr>
        <w:t xml:space="preserve">第二十一条 </w:t>
      </w:r>
      <w:r>
        <w:rPr>
          <w:rFonts w:ascii="黑体" w:hAnsi="黑体" w:cs="黑体" w:hint="eastAsia" w:eastAsia="黑体"/>
          <w:b w:val="false"/>
          <w:bCs w:val="false"/>
          <w:i w:val="false"/>
          <w:iCs w:val="false"/>
          <w:sz w:val="32"/>
          <w:szCs w:val="32"/>
          <w:u w:val="none"/>
        </w:rPr>
        <w:t xml:space="preserve"> </w:t>
      </w:r>
      <w:r>
        <w:rPr>
          <w:rFonts w:ascii="仿宋_GB2312" w:hAnsi="仿宋_GB2312" w:cs="仿宋_GB2312" w:hint="eastAsia"/>
          <w:color w:val="000000"/>
          <w:sz w:val="32"/>
          <w:szCs w:val="32"/>
        </w:rPr>
        <w:t>市、区人民政府应当建立健全企业用水用电用气监测预警保障服务机制。</w:t>
      </w:r>
    </w:p>
    <w:p>
      <w:pPr>
        <w:pStyle w:val="Normal"/>
        <w:keepNext w:val="false"/>
        <w:keepLines w:val="false"/>
        <w:pageBreakBefore w:val="false"/>
        <w:widowControl/>
        <w:suppressLineNumbers w:val="0"/>
        <w:kinsoku w:val="true"/>
        <w:overflowPunct w:val="true"/>
        <w:autoSpaceDE w:val="true"/>
        <w:bidi w:val="0"/>
        <w:snapToGrid w:val="false"/>
        <w:spacing w:lineRule="exact" w:line="60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供水、供电、供气、通信等公用企事业单位应当向社会公开服务标准、资费标准等信息，为市场主体提供安全、便捷、稳定和价格合理的服务，简化报装手续、优化办理流程、压缩办理时限，提高服务效率，公开办事流程和办事时限，实现报装申请全流程网上办理；不得强迫市场主体接受不合理的服务条件；严格执行政府价格政策，清理取消不合理收费，不得以任何名义收取不合理费用，降低报装接入成本；保障市场主体服务质量，不得违法拒绝或者无正当理由中断服务。</w:t>
      </w:r>
    </w:p>
    <w:p>
      <w:pPr>
        <w:pStyle w:val="Normal"/>
        <w:keepNext w:val="false"/>
        <w:keepLines w:val="false"/>
        <w:pageBreakBefore w:val="false"/>
        <w:numPr>
          <w:ilvl w:val="0"/>
          <w:numId w:val="0"/>
        </w:numPr>
        <w:kinsoku w:val="true"/>
        <w:overflowPunct w:val="true"/>
        <w:autoSpaceDE w:val="true"/>
        <w:bidi w:val="0"/>
        <w:snapToGrid w:val="false"/>
        <w:spacing w:lineRule="exact" w:line="600"/>
        <w:ind w:firstLine="640" w:end="0"/>
        <w:jc w:val="both"/>
        <w:textAlignment w:val="auto"/>
        <w:outlineLvl w:val="2"/>
        <w:rPr>
          <w:rFonts w:ascii="仿宋_GB2312" w:hAnsi="仿宋_GB2312" w:eastAsia="仿宋_GB2312" w:cs="仿宋_GB2312" w:hint="eastAsia"/>
          <w:color w:val="000000"/>
          <w:sz w:val="32"/>
          <w:szCs w:val="32"/>
        </w:rPr>
      </w:pPr>
      <w:r>
        <w:rPr>
          <w:rFonts w:ascii="黑体" w:hAnsi="黑体" w:cs="黑体" w:hint="eastAsia" w:eastAsia="黑体"/>
          <w:b w:val="false"/>
          <w:bCs w:val="false"/>
          <w:sz w:val="32"/>
          <w:szCs w:val="32"/>
        </w:rPr>
        <w:t xml:space="preserve">第二十二条  </w:t>
      </w:r>
      <w:r>
        <w:rPr>
          <w:rFonts w:ascii="仿宋_GB2312" w:hAnsi="仿宋_GB2312" w:cs="仿宋_GB2312" w:hint="eastAsia"/>
          <w:color w:val="000000"/>
          <w:sz w:val="32"/>
          <w:szCs w:val="32"/>
        </w:rPr>
        <w:t>市、区工商业联合会应当按照法律、法规和章程规定，协助政府开展服务，探索建立适应市场主体发展需要的服务载体和机制，反映市场主体合理诉求，维护市场主体合法权益。</w:t>
      </w:r>
    </w:p>
    <w:p>
      <w:pPr>
        <w:pStyle w:val="Normal"/>
        <w:keepNext w:val="false"/>
        <w:keepLines w:val="false"/>
        <w:pageBreakBefore w:val="false"/>
        <w:numPr>
          <w:ilvl w:val="0"/>
          <w:numId w:val="0"/>
        </w:numPr>
        <w:kinsoku w:val="true"/>
        <w:overflowPunct w:val="true"/>
        <w:autoSpaceDE w:val="true"/>
        <w:bidi w:val="0"/>
        <w:snapToGrid w:val="false"/>
        <w:spacing w:lineRule="exact" w:line="600"/>
        <w:ind w:firstLineChars="0" w:firstLine="0" w:startChars="0" w:start="0" w:endChars="0" w:end="0"/>
        <w:jc w:val="both"/>
        <w:textAlignment w:val="auto"/>
        <w:outlineLvl w:val="2"/>
        <w:rPr>
          <w:rFonts w:ascii="仿宋_GB2312" w:hAnsi="仿宋_GB2312" w:eastAsia="仿宋_GB2312" w:cs="仿宋_GB2312" w:hint="eastAsia"/>
        </w:rPr>
      </w:pPr>
      <w:r>
        <w:rPr>
          <w:rFonts w:ascii="黑体" w:hAnsi="黑体" w:cs="黑体" w:hint="eastAsia" w:eastAsia="黑体"/>
          <w:b w:val="false"/>
          <w:bCs w:val="false"/>
          <w:sz w:val="32"/>
          <w:szCs w:val="32"/>
        </w:rPr>
        <w:t xml:space="preserve">第二十三条  </w:t>
      </w:r>
      <w:r>
        <w:rPr>
          <w:rFonts w:ascii="仿宋_GB2312" w:hAnsi="仿宋_GB2312" w:cs="仿宋_GB2312" w:hint="eastAsia"/>
          <w:color w:val="000000"/>
          <w:sz w:val="32"/>
          <w:szCs w:val="32"/>
        </w:rPr>
        <w:t>行业协会商会应当为所在行业提供信息咨询、宣传培训、市场拓展、权益保护以及纠纷处理等方面的服务；应当建立诚信承诺制度和自律公约，积极规范会员行为，引导本行业的市场主体依法竞争；协助政府开展政策解读、招商引</w:t>
      </w:r>
      <w:r>
        <w:rPr>
          <w:rFonts w:ascii="仿宋_GB2312" w:hAnsi="仿宋_GB2312" w:cs="仿宋_GB2312" w:hint="eastAsia"/>
          <w:sz w:val="32"/>
          <w:szCs w:val="32"/>
        </w:rPr>
        <w:t>资、市场拓展、信息交流、人才培训和行业运行监测等工作；参与相关政策、规划和标准制定。</w:t>
      </w:r>
    </w:p>
    <w:p>
      <w:pPr>
        <w:pStyle w:val="Normal"/>
        <w:keepNext w:val="false"/>
        <w:keepLines w:val="false"/>
        <w:pageBreakBefore w:val="false"/>
        <w:kinsoku w:val="true"/>
        <w:overflowPunct w:val="true"/>
        <w:autoSpaceDE w:val="true"/>
        <w:bidi w:val="0"/>
        <w:snapToGrid w:val="false"/>
        <w:spacing w:lineRule="exact" w:line="600"/>
        <w:ind w:firstLineChars="0" w:firstLine="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市、区人民政府应当注重指导、培育和发展各类行业协会商会，引导行业协会商会制定符合高质量发展要求的行业发展标准、技术服务标准；依法严格规范和监督各类行业协会商会的收费</w:t>
      </w:r>
      <w:r>
        <w:rPr>
          <w:rFonts w:ascii="仿宋_GB2312" w:hAnsi="仿宋_GB2312" w:cs="仿宋_GB2312" w:hint="eastAsia"/>
          <w:i w:val="false"/>
          <w:iCs w:val="false"/>
          <w:sz w:val="32"/>
          <w:szCs w:val="32"/>
          <w:u w:val="none"/>
        </w:rPr>
        <w:t>、评比、认证</w:t>
      </w:r>
      <w:r>
        <w:rPr>
          <w:rFonts w:ascii="仿宋_GB2312" w:hAnsi="仿宋_GB2312" w:cs="仿宋_GB2312" w:hint="eastAsia"/>
          <w:sz w:val="32"/>
          <w:szCs w:val="32"/>
        </w:rPr>
        <w:t>等行为；鼓励依法建立行业性纠纷调解或者专业调解组织。</w:t>
      </w:r>
    </w:p>
    <w:p>
      <w:pPr>
        <w:pStyle w:val="Normal"/>
        <w:keepNext w:val="false"/>
        <w:keepLines w:val="false"/>
        <w:pageBreakBefore w:val="false"/>
        <w:kinsoku w:val="true"/>
        <w:overflowPunct w:val="true"/>
        <w:bidi w:val="0"/>
        <w:snapToGrid w:val="false"/>
        <w:spacing w:lineRule="exact" w:line="60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numPr>
          <w:ilvl w:val="0"/>
          <w:numId w:val="1"/>
        </w:numPr>
        <w:kinsoku w:val="true"/>
        <w:overflowPunct w:val="true"/>
        <w:bidi w:val="0"/>
        <w:snapToGrid w:val="false"/>
        <w:spacing w:lineRule="exact" w:line="600"/>
        <w:ind w:firstLineChars="0" w:firstLine="0" w:startChars="0" w:start="0" w:endChars="0" w:end="0"/>
        <w:jc w:val="center"/>
        <w:outlineLvl w:val="1"/>
        <w:rPr>
          <w:rFonts w:ascii="黑体" w:hAnsi="黑体" w:eastAsia="黑体" w:cs="黑体" w:hint="eastAsia"/>
          <w:i w:val="false"/>
          <w:iCs w:val="false"/>
          <w:sz w:val="32"/>
          <w:szCs w:val="32"/>
          <w:u w:val="none"/>
        </w:rPr>
      </w:pPr>
      <w:r>
        <w:rPr>
          <w:rFonts w:eastAsia="黑体" w:cs="黑体" w:hint="eastAsia" w:ascii="黑体" w:hAnsi="黑体"/>
          <w:i w:val="false"/>
          <w:iCs w:val="false"/>
          <w:sz w:val="32"/>
          <w:szCs w:val="32"/>
          <w:u w:val="none"/>
        </w:rPr>
        <w:t xml:space="preserve"> </w:t>
      </w:r>
      <w:r>
        <w:rPr>
          <w:rFonts w:ascii="黑体" w:hAnsi="黑体" w:cs="黑体" w:eastAsia="黑体"/>
          <w:i w:val="false"/>
          <w:iCs w:val="false"/>
          <w:sz w:val="32"/>
          <w:szCs w:val="32"/>
          <w:u w:val="none"/>
        </w:rPr>
        <w:t>法治</w:t>
      </w:r>
      <w:r>
        <w:rPr>
          <w:rFonts w:ascii="黑体" w:hAnsi="黑体" w:cs="黑体" w:hint="eastAsia" w:eastAsia="黑体"/>
          <w:i w:val="false"/>
          <w:iCs w:val="false"/>
          <w:sz w:val="32"/>
          <w:szCs w:val="32"/>
          <w:u w:val="none"/>
        </w:rPr>
        <w:t>保障</w:t>
      </w:r>
    </w:p>
    <w:p>
      <w:pPr>
        <w:pStyle w:val="TOC2"/>
        <w:keepNext w:val="false"/>
        <w:keepLines w:val="false"/>
        <w:pageBreakBefore w:val="false"/>
        <w:numPr>
          <w:ilvl w:val="0"/>
          <w:numId w:val="0"/>
        </w:numPr>
        <w:kinsoku w:val="true"/>
        <w:overflowPunct w:val="true"/>
        <w:bidi w:val="0"/>
        <w:snapToGrid w:val="false"/>
        <w:spacing w:lineRule="exact" w:line="600"/>
        <w:ind w:firstLineChars="0" w:firstLine="0" w:startChars="0" w:start="0" w:endChars="0" w:end="0"/>
        <w:rPr>
          <w:rFonts w:ascii="黑体" w:hAnsi="黑体" w:eastAsia="黑体" w:cs="黑体" w:hint="eastAsia"/>
          <w:i w:val="false"/>
          <w:iCs w:val="false"/>
          <w:sz w:val="28"/>
          <w:szCs w:val="28"/>
          <w:u w:val="none"/>
        </w:rPr>
      </w:pPr>
      <w:r>
        <w:rPr>
          <w:rFonts w:eastAsia="黑体" w:cs="黑体" w:hint="eastAsia" w:ascii="黑体" w:hAnsi="黑体"/>
          <w:i w:val="false"/>
          <w:iCs w:val="false"/>
          <w:sz w:val="28"/>
          <w:szCs w:val="28"/>
          <w:u w:val="none"/>
        </w:rPr>
      </w:r>
    </w:p>
    <w:p>
      <w:pPr>
        <w:pStyle w:val="Style17"/>
        <w:keepNext w:val="false"/>
        <w:keepLines w:val="false"/>
        <w:pageBreakBefore w:val="false"/>
        <w:widowControl w:val="false"/>
        <w:kinsoku w:val="true"/>
        <w:overflowPunct w:val="true"/>
        <w:autoSpaceDE w:val="true"/>
        <w:bidi w:val="0"/>
        <w:snapToGrid w:val="false"/>
        <w:spacing w:lineRule="exact" w:line="600"/>
        <w:ind w:endChars="0" w:end="0"/>
        <w:jc w:val="both"/>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 xml:space="preserve">第二十四条  </w:t>
      </w:r>
      <w:r>
        <w:rPr>
          <w:rFonts w:ascii="仿宋_GB2312" w:hAnsi="仿宋_GB2312" w:cs="仿宋_GB2312" w:hint="eastAsia" w:eastAsia="仿宋_GB2312"/>
          <w:i w:val="false"/>
          <w:iCs w:val="false"/>
          <w:sz w:val="32"/>
          <w:szCs w:val="32"/>
          <w:u w:val="none"/>
        </w:rPr>
        <w:t>市</w:t>
      </w:r>
      <w:r>
        <w:rPr>
          <w:rFonts w:ascii="仿宋_GB2312" w:hAnsi="仿宋_GB2312" w:cs="仿宋_GB2312" w:hint="eastAsia" w:eastAsia="仿宋_GB2312"/>
          <w:sz w:val="32"/>
          <w:szCs w:val="32"/>
        </w:rPr>
        <w:t>人民政府各有关部门应当加强涉及市场主体服务的法律、法规、规章和政策措施的宣传力度，结合有关行业的实际需求，编制并派发行业管理法律法规汇编；区人民政府有关部门、镇人民政府、街道办事处要结合监管情况，依托行业协会商会定期为市场主体开展行业法律法规专题宣讲。</w:t>
      </w:r>
    </w:p>
    <w:p>
      <w:pPr>
        <w:pStyle w:val="Style17"/>
        <w:keepNext w:val="false"/>
        <w:keepLines w:val="false"/>
        <w:pageBreakBefore w:val="false"/>
        <w:widowControl w:val="false"/>
        <w:kinsoku w:val="true"/>
        <w:overflowPunct w:val="true"/>
        <w:autoSpaceDE w:val="true"/>
        <w:bidi w:val="0"/>
        <w:snapToGrid w:val="false"/>
        <w:spacing w:lineRule="exact" w:line="600"/>
        <w:ind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法律、法规、规章和政策性文件颁布施行可能对市场主体生产经营活动造成重大影响的，市人民政府各有关部门可以会同相关行业协会商会，为有关市场主体提供法律、法规和政策解读等服务。</w:t>
      </w:r>
    </w:p>
    <w:p>
      <w:pPr>
        <w:pStyle w:val="Normal"/>
        <w:keepNext w:val="false"/>
        <w:keepLines w:val="false"/>
        <w:pageBreakBefore w:val="false"/>
        <w:numPr>
          <w:ilvl w:val="0"/>
          <w:numId w:val="0"/>
        </w:numPr>
        <w:kinsoku w:val="true"/>
        <w:overflowPunct w:val="true"/>
        <w:bidi w:val="0"/>
        <w:snapToGrid w:val="false"/>
        <w:spacing w:lineRule="exact" w:line="600"/>
        <w:ind w:firstLineChars="200" w:startChars="0" w:start="0" w:endChars="0" w:end="0"/>
        <w:jc w:val="both"/>
        <w:outlineLvl w:val="2"/>
        <w:rPr>
          <w:rFonts w:ascii="仿宋_GB2312" w:hAnsi="仿宋_GB2312" w:eastAsia="仿宋_GB2312" w:cs="仿宋_GB2312" w:hint="eastAsia"/>
          <w:i/>
          <w:iCs/>
          <w:color w:val="000000"/>
          <w:kern w:val="2"/>
          <w:sz w:val="32"/>
          <w:szCs w:val="32"/>
          <w:u w:val="single"/>
        </w:rPr>
      </w:pPr>
      <w:r>
        <w:rPr>
          <w:rFonts w:ascii="黑体" w:hAnsi="黑体" w:cs="黑体" w:hint="eastAsia" w:eastAsia="黑体"/>
          <w:b w:val="false"/>
          <w:bCs w:val="false"/>
          <w:sz w:val="32"/>
          <w:szCs w:val="32"/>
        </w:rPr>
        <w:t xml:space="preserve">第二十五条  </w:t>
      </w:r>
      <w:r>
        <w:rPr>
          <w:rFonts w:ascii="仿宋_GB2312" w:hAnsi="仿宋_GB2312" w:cs="仿宋_GB2312"/>
          <w:color w:val="000000"/>
          <w:kern w:val="2"/>
          <w:sz w:val="32"/>
          <w:szCs w:val="32"/>
        </w:rPr>
        <w:t>各级</w:t>
      </w:r>
      <w:r>
        <w:rPr>
          <w:rFonts w:ascii="仿宋_GB2312" w:hAnsi="仿宋_GB2312" w:cs="仿宋_GB2312" w:hint="eastAsia"/>
          <w:color w:val="000000"/>
          <w:kern w:val="2"/>
          <w:sz w:val="32"/>
          <w:szCs w:val="32"/>
        </w:rPr>
        <w:t>人民政府及其有关部门应当保持政策的连续性和稳定性，履行向市场主体依法作出的政策承诺以及依法订立的合同，不得以行政区划调整、政府换届、机构或者职能调整以及有关责任人更替等为由不履行、不完全履行或者迟延履行。</w:t>
      </w:r>
    </w:p>
    <w:p>
      <w:pPr>
        <w:pStyle w:val="Normal"/>
        <w:keepNext w:val="false"/>
        <w:keepLines w:val="false"/>
        <w:pageBreakBefore w:val="false"/>
        <w:kinsoku w:val="true"/>
        <w:overflowPunct w:val="true"/>
        <w:bidi w:val="0"/>
        <w:snapToGrid w:val="false"/>
        <w:spacing w:lineRule="exact" w:line="60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rPr>
        <w:t>因国家利益、公共利益或者其他法定事由需要改变政策承诺、合同约定的，应当依照法定权限和程序进行；给市场主体造成损失的，应当依法与市场主体签订书面补偿协议并予以补偿。</w:t>
      </w:r>
    </w:p>
    <w:p>
      <w:pPr>
        <w:pStyle w:val="Normal"/>
        <w:keepNext w:val="false"/>
        <w:keepLines w:val="false"/>
        <w:pageBreakBefore w:val="false"/>
        <w:kinsoku w:val="true"/>
        <w:overflowPunct w:val="true"/>
        <w:bidi w:val="0"/>
        <w:snapToGrid w:val="false"/>
        <w:spacing w:lineRule="exact" w:line="600"/>
        <w:ind w:firstLineChars="200" w:startChars="0" w:start="0" w:endChars="0" w:end="0"/>
        <w:jc w:val="both"/>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rPr>
        <w:t>市、区人民政府部门职能调整的，应当及时向社会公开职能调整有关信息。需要调整原合同签约主体的，应当主动与有关市场主体签订补充协议。</w:t>
      </w:r>
    </w:p>
    <w:p>
      <w:pPr>
        <w:pStyle w:val="Normal"/>
        <w:keepNext w:val="false"/>
        <w:keepLines w:val="false"/>
        <w:pageBreakBefore w:val="false"/>
        <w:numPr>
          <w:ilvl w:val="0"/>
          <w:numId w:val="0"/>
        </w:numPr>
        <w:kinsoku w:val="true"/>
        <w:overflowPunct w:val="true"/>
        <w:bidi w:val="0"/>
        <w:snapToGrid w:val="false"/>
        <w:spacing w:lineRule="exact" w:line="600"/>
        <w:ind w:firstLineChars="200" w:startChars="0" w:start="0" w:endChars="0" w:end="0"/>
        <w:jc w:val="both"/>
        <w:outlineLvl w:val="2"/>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 xml:space="preserve">第二十六条  </w:t>
      </w:r>
      <w:r>
        <w:rPr>
          <w:rFonts w:ascii="仿宋_GB2312" w:hAnsi="仿宋_GB2312" w:cs="仿宋_GB2312" w:hint="eastAsia"/>
          <w:i w:val="false"/>
          <w:iCs w:val="false"/>
          <w:sz w:val="32"/>
          <w:szCs w:val="32"/>
          <w:lang w:eastAsia="zh-CN"/>
        </w:rPr>
        <w:t>本</w:t>
      </w:r>
      <w:r>
        <w:rPr>
          <w:rFonts w:ascii="仿宋_GB2312" w:hAnsi="仿宋_GB2312" w:cs="仿宋_GB2312" w:hint="eastAsia"/>
          <w:sz w:val="32"/>
          <w:szCs w:val="32"/>
          <w:lang w:eastAsia="zh-CN"/>
        </w:rPr>
        <w:t>市</w:t>
      </w:r>
      <w:r>
        <w:rPr>
          <w:rFonts w:ascii="仿宋_GB2312" w:hAnsi="仿宋_GB2312" w:cs="仿宋_GB2312" w:hint="eastAsia"/>
          <w:sz w:val="32"/>
          <w:szCs w:val="32"/>
        </w:rPr>
        <w:t>制定涉及服务市场主体的地方性法规、规章、行政规范性文件应当符合下列要求：</w:t>
      </w:r>
    </w:p>
    <w:p>
      <w:pPr>
        <w:pStyle w:val="Normal"/>
        <w:keepNext w:val="false"/>
        <w:keepLines w:val="false"/>
        <w:pageBreakBefore w:val="false"/>
        <w:kinsoku w:val="true"/>
        <w:overflowPunct w:val="true"/>
        <w:bidi w:val="0"/>
        <w:snapToGrid w:val="false"/>
        <w:spacing w:lineRule="exact" w:line="60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（一）进行科学性、合理性以及协调性评估；</w:t>
      </w:r>
    </w:p>
    <w:p>
      <w:pPr>
        <w:pStyle w:val="Normal"/>
        <w:keepNext w:val="false"/>
        <w:keepLines w:val="false"/>
        <w:pageBreakBefore w:val="false"/>
        <w:kinsoku w:val="true"/>
        <w:overflowPunct w:val="true"/>
        <w:bidi w:val="0"/>
        <w:snapToGrid w:val="false"/>
        <w:spacing w:lineRule="exact" w:line="60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（二）进行公平竞争审查；</w:t>
      </w:r>
    </w:p>
    <w:p>
      <w:pPr>
        <w:pStyle w:val="Normal"/>
        <w:keepNext w:val="false"/>
        <w:keepLines w:val="false"/>
        <w:pageBreakBefore w:val="false"/>
        <w:kinsoku w:val="true"/>
        <w:overflowPunct w:val="true"/>
        <w:bidi w:val="0"/>
        <w:snapToGrid w:val="false"/>
        <w:spacing w:lineRule="exact" w:line="60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（三）充分听取</w:t>
      </w:r>
      <w:r>
        <w:rPr>
          <w:rFonts w:ascii="仿宋_GB2312" w:hAnsi="仿宋_GB2312" w:cs="仿宋_GB2312" w:hint="eastAsia"/>
          <w:sz w:val="32"/>
          <w:szCs w:val="32"/>
          <w:lang w:eastAsia="zh-CN"/>
        </w:rPr>
        <w:t>市场主体</w:t>
      </w:r>
      <w:r>
        <w:rPr>
          <w:rFonts w:ascii="仿宋_GB2312" w:hAnsi="仿宋_GB2312" w:cs="仿宋_GB2312" w:hint="eastAsia"/>
          <w:sz w:val="32"/>
          <w:szCs w:val="32"/>
        </w:rPr>
        <w:t>以及</w:t>
      </w:r>
      <w:r>
        <w:rPr>
          <w:rFonts w:ascii="仿宋_GB2312" w:hAnsi="仿宋_GB2312" w:cs="仿宋_GB2312" w:hint="eastAsia"/>
          <w:sz w:val="32"/>
          <w:szCs w:val="32"/>
          <w:lang w:eastAsia="zh-CN"/>
        </w:rPr>
        <w:t>行业</w:t>
      </w:r>
      <w:r>
        <w:rPr>
          <w:rFonts w:ascii="仿宋_GB2312" w:hAnsi="仿宋_GB2312" w:cs="仿宋_GB2312" w:hint="eastAsia"/>
          <w:sz w:val="32"/>
          <w:szCs w:val="32"/>
        </w:rPr>
        <w:t>协会商会、产业</w:t>
      </w:r>
      <w:r>
        <w:rPr>
          <w:rFonts w:ascii="仿宋_GB2312" w:hAnsi="仿宋_GB2312" w:cs="仿宋_GB2312" w:hint="eastAsia"/>
          <w:sz w:val="32"/>
          <w:szCs w:val="32"/>
          <w:lang w:eastAsia="zh-CN"/>
        </w:rPr>
        <w:t>园区</w:t>
      </w:r>
      <w:r>
        <w:rPr>
          <w:rFonts w:ascii="仿宋_GB2312" w:hAnsi="仿宋_GB2312" w:cs="仿宋_GB2312" w:hint="eastAsia"/>
          <w:sz w:val="32"/>
          <w:szCs w:val="32"/>
        </w:rPr>
        <w:t>的意见；</w:t>
      </w:r>
    </w:p>
    <w:p>
      <w:pPr>
        <w:pStyle w:val="Normal"/>
        <w:keepNext w:val="false"/>
        <w:keepLines w:val="false"/>
        <w:pageBreakBefore w:val="false"/>
        <w:kinsoku w:val="true"/>
        <w:overflowPunct w:val="true"/>
        <w:bidi w:val="0"/>
        <w:snapToGrid w:val="false"/>
        <w:spacing w:lineRule="exact" w:line="60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（四）设置合理</w:t>
      </w:r>
      <w:r>
        <w:rPr>
          <w:rFonts w:ascii="仿宋_GB2312" w:hAnsi="仿宋_GB2312" w:cs="仿宋_GB2312" w:hint="eastAsia"/>
          <w:i w:val="false"/>
          <w:iCs w:val="false"/>
          <w:sz w:val="32"/>
          <w:szCs w:val="32"/>
          <w:u w:val="none"/>
        </w:rPr>
        <w:t>过渡期，为市场主体留出必要的适应调整期</w:t>
      </w:r>
      <w:r>
        <w:rPr>
          <w:rFonts w:ascii="仿宋_GB2312" w:hAnsi="仿宋_GB2312" w:cs="仿宋_GB2312" w:hint="eastAsia"/>
          <w:sz w:val="32"/>
          <w:szCs w:val="32"/>
        </w:rPr>
        <w:t>；</w:t>
      </w:r>
    </w:p>
    <w:p>
      <w:pPr>
        <w:pStyle w:val="Normal"/>
        <w:keepNext w:val="false"/>
        <w:keepLines w:val="false"/>
        <w:pageBreakBefore w:val="false"/>
        <w:kinsoku w:val="true"/>
        <w:overflowPunct w:val="true"/>
        <w:bidi w:val="0"/>
        <w:snapToGrid w:val="false"/>
        <w:spacing w:lineRule="exact" w:line="60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（五）明确配套规定制定时限，时限最长不得超过一年；</w:t>
      </w:r>
    </w:p>
    <w:p>
      <w:pPr>
        <w:pStyle w:val="Normal"/>
        <w:keepNext w:val="false"/>
        <w:keepLines w:val="false"/>
        <w:pageBreakBefore w:val="false"/>
        <w:kinsoku w:val="true"/>
        <w:overflowPunct w:val="true"/>
        <w:bidi w:val="0"/>
        <w:snapToGrid w:val="false"/>
        <w:spacing w:lineRule="exact" w:line="60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（六）</w:t>
      </w:r>
      <w:r>
        <w:rPr>
          <w:rFonts w:ascii="仿宋_GB2312" w:hAnsi="仿宋_GB2312" w:cs="仿宋_GB2312" w:hint="eastAsia"/>
          <w:i w:val="false"/>
          <w:iCs w:val="false"/>
          <w:sz w:val="32"/>
          <w:szCs w:val="32"/>
          <w:u w:val="none"/>
        </w:rPr>
        <w:t>法律法规</w:t>
      </w:r>
      <w:r>
        <w:rPr>
          <w:rFonts w:ascii="仿宋_GB2312" w:hAnsi="仿宋_GB2312" w:cs="仿宋_GB2312" w:hint="eastAsia"/>
          <w:sz w:val="32"/>
          <w:szCs w:val="32"/>
        </w:rPr>
        <w:t>规定的其他要求。</w:t>
      </w:r>
    </w:p>
    <w:p>
      <w:pPr>
        <w:pStyle w:val="Normal"/>
        <w:keepNext w:val="false"/>
        <w:keepLines w:val="false"/>
        <w:pageBreakBefore w:val="false"/>
        <w:kinsoku w:val="true"/>
        <w:overflowPunct w:val="true"/>
        <w:bidi w:val="0"/>
        <w:snapToGrid w:val="false"/>
        <w:spacing w:lineRule="exact" w:line="60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涉及服务市场主体的本市地方性法规、规章、行政规范性文件设置</w:t>
      </w:r>
      <w:r>
        <w:rPr>
          <w:rFonts w:ascii="仿宋_GB2312" w:hAnsi="仿宋_GB2312" w:cs="仿宋_GB2312" w:hint="eastAsia"/>
          <w:i w:val="false"/>
          <w:iCs w:val="false"/>
          <w:sz w:val="32"/>
          <w:szCs w:val="32"/>
          <w:u w:val="none"/>
        </w:rPr>
        <w:t>过渡</w:t>
      </w:r>
      <w:r>
        <w:rPr>
          <w:rFonts w:ascii="仿宋_GB2312" w:hAnsi="仿宋_GB2312" w:cs="仿宋_GB2312" w:hint="eastAsia"/>
          <w:sz w:val="32"/>
          <w:szCs w:val="32"/>
        </w:rPr>
        <w:t>期的，负责政策实施的</w:t>
      </w:r>
      <w:r>
        <w:rPr>
          <w:rFonts w:ascii="仿宋_GB2312" w:hAnsi="仿宋_GB2312" w:cs="仿宋_GB2312" w:hint="eastAsia"/>
          <w:sz w:val="32"/>
          <w:szCs w:val="32"/>
          <w:lang w:eastAsia="zh-CN"/>
        </w:rPr>
        <w:t>主管</w:t>
      </w:r>
      <w:r>
        <w:rPr>
          <w:rFonts w:ascii="仿宋_GB2312" w:hAnsi="仿宋_GB2312" w:cs="仿宋_GB2312" w:hint="eastAsia"/>
          <w:sz w:val="32"/>
          <w:szCs w:val="32"/>
        </w:rPr>
        <w:t>部门应当做好实施前准备工作，并指导有需要的市场主体制定科学整改方案，帮助市场主体在</w:t>
      </w:r>
      <w:r>
        <w:rPr>
          <w:rFonts w:ascii="仿宋_GB2312" w:hAnsi="仿宋_GB2312" w:cs="仿宋_GB2312" w:hint="eastAsia"/>
          <w:i w:val="false"/>
          <w:iCs w:val="false"/>
          <w:sz w:val="32"/>
          <w:szCs w:val="32"/>
          <w:u w:val="none"/>
        </w:rPr>
        <w:t>调整</w:t>
      </w:r>
      <w:r>
        <w:rPr>
          <w:rFonts w:ascii="仿宋_GB2312" w:hAnsi="仿宋_GB2312" w:cs="仿宋_GB2312" w:hint="eastAsia"/>
          <w:sz w:val="32"/>
          <w:szCs w:val="32"/>
        </w:rPr>
        <w:t>期届满前符合政策要求。</w:t>
      </w:r>
    </w:p>
    <w:p>
      <w:pPr>
        <w:pStyle w:val="Normal"/>
        <w:keepNext w:val="false"/>
        <w:keepLines w:val="false"/>
        <w:pageBreakBefore w:val="false"/>
        <w:numPr>
          <w:ilvl w:val="0"/>
          <w:numId w:val="0"/>
        </w:numPr>
        <w:kinsoku w:val="true"/>
        <w:overflowPunct w:val="true"/>
        <w:bidi w:val="0"/>
        <w:snapToGrid w:val="false"/>
        <w:spacing w:lineRule="exact" w:line="600"/>
        <w:ind w:firstLineChars="200" w:startChars="0" w:start="0" w:endChars="0" w:end="0"/>
        <w:jc w:val="both"/>
        <w:outlineLvl w:val="2"/>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 xml:space="preserve">第二十七条  </w:t>
      </w:r>
      <w:r>
        <w:rPr>
          <w:rFonts w:ascii="仿宋_GB2312" w:hAnsi="仿宋_GB2312" w:cs="仿宋_GB2312" w:hint="eastAsia"/>
          <w:sz w:val="32"/>
          <w:szCs w:val="32"/>
        </w:rPr>
        <w:t>市人民政府应当依法建立统一的市场管理容错机制，建立市场主体轻微违法违规经营行为免予行政处罚和行政强制清单，对违法行为轻微并及时纠正，没有造成危害后果的，不予行政处罚；对违法行为情节轻微或者社会危害较小的，可以不实施行政强制措施。对违法行为依法需要采取法定措施或者给予行政处罚的，应当与违法行</w:t>
      </w:r>
      <w:r>
        <w:rPr>
          <w:rFonts w:ascii="仿宋_GB2312" w:hAnsi="仿宋_GB2312" w:cs="仿宋_GB2312" w:hint="eastAsia"/>
          <w:i w:val="false"/>
          <w:iCs w:val="false"/>
          <w:sz w:val="32"/>
          <w:szCs w:val="32"/>
          <w:u w:val="none"/>
        </w:rPr>
        <w:t>为的事实、性质、情节以及社会危害程度相当。</w:t>
      </w:r>
    </w:p>
    <w:p>
      <w:pPr>
        <w:pStyle w:val="Normal"/>
        <w:keepNext w:val="false"/>
        <w:keepLines w:val="false"/>
        <w:pageBreakBefore w:val="false"/>
        <w:kinsoku w:val="true"/>
        <w:overflowPunct w:val="true"/>
        <w:bidi w:val="0"/>
        <w:snapToGrid w:val="false"/>
        <w:spacing w:lineRule="exact" w:line="60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市、区人民政府及</w:t>
      </w:r>
      <w:r>
        <w:rPr>
          <w:rFonts w:ascii="仿宋_GB2312" w:hAnsi="仿宋_GB2312" w:cs="仿宋_GB2312" w:hint="eastAsia"/>
          <w:b w:val="false"/>
          <w:bCs w:val="false"/>
          <w:sz w:val="32"/>
          <w:szCs w:val="32"/>
        </w:rPr>
        <w:t>其</w:t>
      </w:r>
      <w:r>
        <w:rPr>
          <w:rFonts w:ascii="仿宋_GB2312" w:hAnsi="仿宋_GB2312" w:cs="仿宋_GB2312" w:hint="eastAsia"/>
          <w:sz w:val="32"/>
          <w:szCs w:val="32"/>
        </w:rPr>
        <w:t>有关部门应当针对新技术、新产业、新业态、新模式的性质、特点，分类制定监管规则，建立政府、企业、协会以及资源提供者和消费者多方协同治理机制；制定的临时性、过渡性监管规则和措施，在确保质量和安全的基础上，可以适当降低抽查频次。</w:t>
      </w:r>
    </w:p>
    <w:p>
      <w:pPr>
        <w:pStyle w:val="Normal"/>
        <w:keepNext w:val="false"/>
        <w:keepLines w:val="false"/>
        <w:pageBreakBefore w:val="false"/>
        <w:kinsoku w:val="true"/>
        <w:overflowPunct w:val="true"/>
        <w:bidi w:val="0"/>
        <w:snapToGrid w:val="false"/>
        <w:spacing w:lineRule="exact" w:line="60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市、区人民政府及其有关部门应当依法归集、披露、使用和管理市场主体及其经营管理者的公共信用信息，不得违法扩大不良信息、严重失信名单的认定范围，不得违法增设监管措施和惩戒措施。</w:t>
      </w:r>
    </w:p>
    <w:p>
      <w:pPr>
        <w:pStyle w:val="Normal"/>
        <w:keepNext w:val="false"/>
        <w:keepLines w:val="false"/>
        <w:pageBreakBefore w:val="false"/>
        <w:widowControl w:val="false"/>
        <w:numPr>
          <w:ilvl w:val="0"/>
          <w:numId w:val="0"/>
        </w:numPr>
        <w:kinsoku w:val="true"/>
        <w:overflowPunct w:val="true"/>
        <w:bidi w:val="0"/>
        <w:snapToGrid w:val="false"/>
        <w:spacing w:lineRule="exact" w:line="600"/>
        <w:ind w:firstLineChars="200" w:startChars="0" w:start="0" w:endChars="0" w:end="0"/>
        <w:jc w:val="both"/>
        <w:outlineLvl w:val="2"/>
        <w:rPr>
          <w:rFonts w:ascii="仿宋_GB2312" w:hAnsi="仿宋_GB2312" w:eastAsia="仿宋_GB2312" w:cs="仿宋_GB2312" w:hint="eastAsia"/>
          <w:color w:val="000000"/>
          <w:kern w:val="2"/>
          <w:sz w:val="32"/>
          <w:szCs w:val="32"/>
        </w:rPr>
      </w:pPr>
      <w:r>
        <w:rPr>
          <w:rFonts w:ascii="黑体" w:hAnsi="黑体" w:cs="黑体" w:hint="eastAsia" w:eastAsia="黑体"/>
          <w:b w:val="false"/>
          <w:bCs w:val="false"/>
          <w:sz w:val="32"/>
          <w:szCs w:val="32"/>
        </w:rPr>
        <w:t xml:space="preserve">第二十八条  </w:t>
      </w:r>
      <w:r>
        <w:rPr>
          <w:rFonts w:ascii="仿宋_GB2312" w:hAnsi="仿宋_GB2312" w:cs="仿宋_GB2312" w:hint="eastAsia"/>
          <w:color w:val="000000"/>
          <w:kern w:val="2"/>
          <w:sz w:val="32"/>
          <w:szCs w:val="32"/>
        </w:rPr>
        <w:t>市、区人民政府有关部门应当根据监管需求，加强协作，明确联动程序，推动“人工智能</w:t>
      </w:r>
      <w:r>
        <w:rPr>
          <w:rFonts w:eastAsia="仿宋_GB2312" w:cs="仿宋_GB2312" w:hint="eastAsia" w:ascii="仿宋_GB2312" w:hAnsi="仿宋_GB2312"/>
          <w:color w:val="000000"/>
          <w:kern w:val="2"/>
          <w:sz w:val="32"/>
          <w:szCs w:val="32"/>
        </w:rPr>
        <w:t>+</w:t>
      </w:r>
      <w:r>
        <w:rPr>
          <w:rFonts w:ascii="仿宋_GB2312" w:hAnsi="仿宋_GB2312" w:cs="仿宋_GB2312" w:hint="eastAsia"/>
          <w:color w:val="000000"/>
          <w:kern w:val="2"/>
          <w:sz w:val="32"/>
          <w:szCs w:val="32"/>
        </w:rPr>
        <w:t>双随机”等新型监管方式的应用，提高跨部门、跨领域联合检查效能。不同部门需要在特定区域或者时段对同一</w:t>
      </w:r>
      <w:r>
        <w:rPr>
          <w:rFonts w:ascii="仿宋_GB2312" w:hAnsi="仿宋_GB2312" w:cs="仿宋_GB2312" w:hint="eastAsia"/>
          <w:i w:val="false"/>
          <w:iCs w:val="false"/>
          <w:color w:val="000000"/>
          <w:kern w:val="2"/>
          <w:sz w:val="32"/>
          <w:szCs w:val="32"/>
          <w:u w:val="none"/>
        </w:rPr>
        <w:t>市场主体实施</w:t>
      </w:r>
      <w:r>
        <w:rPr>
          <w:rFonts w:ascii="仿宋_GB2312" w:hAnsi="仿宋_GB2312" w:cs="仿宋_GB2312" w:hint="eastAsia"/>
          <w:color w:val="000000"/>
          <w:kern w:val="2"/>
          <w:sz w:val="32"/>
          <w:szCs w:val="32"/>
        </w:rPr>
        <w:t>多项检查的，</w:t>
      </w:r>
      <w:r>
        <w:rPr>
          <w:rFonts w:ascii="仿宋_GB2312" w:hAnsi="仿宋_GB2312" w:cs="仿宋_GB2312" w:hint="eastAsia"/>
          <w:i w:val="false"/>
          <w:iCs w:val="false"/>
          <w:color w:val="000000"/>
          <w:kern w:val="2"/>
          <w:sz w:val="32"/>
          <w:szCs w:val="32"/>
          <w:u w:val="none"/>
        </w:rPr>
        <w:t>应当采用联合检查的方式，由主责部门牵头组织其他部门实施一次检查，完成所有检查内容</w:t>
      </w:r>
      <w:r>
        <w:rPr>
          <w:rFonts w:ascii="仿宋_GB2312" w:hAnsi="仿宋_GB2312" w:cs="仿宋_GB2312" w:hint="eastAsia"/>
          <w:color w:val="000000"/>
          <w:kern w:val="2"/>
          <w:sz w:val="32"/>
          <w:szCs w:val="32"/>
        </w:rPr>
        <w:t>。</w:t>
      </w:r>
    </w:p>
    <w:p>
      <w:pPr>
        <w:pStyle w:val="Normal"/>
        <w:keepNext w:val="false"/>
        <w:keepLines w:val="false"/>
        <w:pageBreakBefore w:val="false"/>
        <w:kinsoku w:val="true"/>
        <w:overflowPunct w:val="true"/>
        <w:bidi w:val="0"/>
        <w:snapToGrid w:val="false"/>
        <w:spacing w:lineRule="exact" w:line="600"/>
        <w:ind w:firstLineChars="200" w:startChars="0" w:start="0" w:endChars="0" w:end="0"/>
        <w:jc w:val="both"/>
        <w:rPr>
          <w:rFonts w:ascii="仿宋_GB2312" w:hAnsi="仿宋_GB2312" w:eastAsia="仿宋_GB2312" w:cs="仿宋_GB2312" w:hint="eastAsia"/>
          <w:color w:val="000000"/>
          <w:sz w:val="32"/>
          <w:szCs w:val="32"/>
          <w:highlight w:val="red"/>
        </w:rPr>
      </w:pPr>
      <w:r>
        <w:rPr>
          <w:rFonts w:ascii="仿宋_GB2312" w:hAnsi="仿宋_GB2312" w:cs="仿宋_GB2312" w:hint="eastAsia"/>
          <w:color w:val="000000"/>
          <w:sz w:val="32"/>
          <w:szCs w:val="32"/>
        </w:rPr>
        <w:t>同一</w:t>
      </w:r>
      <w:r>
        <w:rPr>
          <w:rFonts w:ascii="仿宋_GB2312" w:hAnsi="仿宋_GB2312" w:cs="仿宋_GB2312" w:hint="eastAsia"/>
          <w:color w:val="000000"/>
          <w:kern w:val="2"/>
          <w:sz w:val="32"/>
          <w:szCs w:val="32"/>
        </w:rPr>
        <w:t>部门</w:t>
      </w:r>
      <w:r>
        <w:rPr>
          <w:rFonts w:ascii="仿宋_GB2312" w:hAnsi="仿宋_GB2312" w:cs="仿宋_GB2312" w:hint="eastAsia"/>
          <w:color w:val="000000"/>
          <w:sz w:val="32"/>
          <w:szCs w:val="32"/>
        </w:rPr>
        <w:t>同一时期对同一</w:t>
      </w:r>
      <w:r>
        <w:rPr>
          <w:rFonts w:ascii="仿宋_GB2312" w:hAnsi="仿宋_GB2312" w:cs="仿宋_GB2312" w:hint="eastAsia"/>
          <w:i w:val="false"/>
          <w:iCs w:val="false"/>
          <w:color w:val="000000"/>
          <w:sz w:val="32"/>
          <w:szCs w:val="32"/>
          <w:u w:val="none"/>
        </w:rPr>
        <w:t>市场主体</w:t>
      </w:r>
      <w:r>
        <w:rPr>
          <w:rFonts w:ascii="仿宋_GB2312" w:hAnsi="仿宋_GB2312" w:cs="仿宋_GB2312" w:hint="eastAsia"/>
          <w:color w:val="000000"/>
          <w:sz w:val="32"/>
          <w:szCs w:val="32"/>
        </w:rPr>
        <w:t>实施多项检查的，原则上应当合并进行。除重点监管的市场主体外，同一系统上级部门已对同一市场主体检查的，下级部门原则上不得再次实施检查，但涉及案件办理、投诉举报处理等事项的除外。</w:t>
      </w:r>
    </w:p>
    <w:p>
      <w:pPr>
        <w:pStyle w:val="Normal"/>
        <w:keepNext w:val="false"/>
        <w:keepLines w:val="false"/>
        <w:pageBreakBefore w:val="false"/>
        <w:kinsoku w:val="true"/>
        <w:overflowPunct w:val="true"/>
        <w:bidi w:val="0"/>
        <w:snapToGrid w:val="false"/>
        <w:spacing w:lineRule="exact" w:line="600"/>
        <w:ind w:firstLineChars="200" w:startChars="0" w:start="0" w:endChars="0" w:end="0"/>
        <w:jc w:val="both"/>
        <w:rPr>
          <w:rFonts w:ascii="仿宋_GB2312" w:hAnsi="仿宋_GB2312" w:eastAsia="仿宋_GB2312" w:cs="仿宋_GB2312" w:hint="eastAsia"/>
          <w:i/>
          <w:iCs/>
          <w:color w:val="000000"/>
          <w:sz w:val="32"/>
          <w:szCs w:val="32"/>
          <w:u w:val="single"/>
        </w:rPr>
      </w:pPr>
      <w:r>
        <w:rPr>
          <w:rFonts w:ascii="仿宋_GB2312" w:hAnsi="仿宋_GB2312" w:cs="仿宋_GB2312" w:hint="eastAsia"/>
          <w:i w:val="false"/>
          <w:iCs w:val="false"/>
          <w:color w:val="000000"/>
          <w:sz w:val="32"/>
          <w:szCs w:val="32"/>
        </w:rPr>
        <w:t>行政主管部门开展检查应当采取随机抽取检查对象、随机选派检查人员的方式，并及时公布检查、处理结果；法律法规另有规定的，从其规定。</w:t>
      </w:r>
    </w:p>
    <w:p>
      <w:pPr>
        <w:pStyle w:val="Normal"/>
        <w:keepNext w:val="false"/>
        <w:keepLines w:val="false"/>
        <w:pageBreakBefore w:val="false"/>
        <w:widowControl w:val="false"/>
        <w:numPr>
          <w:ilvl w:val="0"/>
          <w:numId w:val="0"/>
        </w:numPr>
        <w:kinsoku w:val="true"/>
        <w:overflowPunct w:val="true"/>
        <w:bidi w:val="0"/>
        <w:snapToGrid w:val="false"/>
        <w:spacing w:lineRule="exact" w:line="600"/>
        <w:ind w:firstLineChars="200" w:startChars="0" w:start="0" w:endChars="0" w:end="0"/>
        <w:jc w:val="both"/>
        <w:outlineLvl w:val="2"/>
        <w:rPr>
          <w:rFonts w:ascii="仿宋_GB2312" w:hAnsi="仿宋_GB2312" w:eastAsia="仿宋_GB2312" w:cs="仿宋_GB2312" w:hint="eastAsia"/>
          <w:kern w:val="2"/>
          <w:sz w:val="32"/>
          <w:szCs w:val="32"/>
        </w:rPr>
      </w:pPr>
      <w:r>
        <w:rPr>
          <w:rFonts w:ascii="黑体" w:hAnsi="黑体" w:cs="黑体" w:hint="eastAsia" w:eastAsia="黑体"/>
          <w:b w:val="false"/>
          <w:bCs w:val="false"/>
          <w:sz w:val="32"/>
          <w:szCs w:val="32"/>
          <w:lang w:eastAsia="zh-CN"/>
        </w:rPr>
        <w:t>第</w:t>
      </w:r>
      <w:r>
        <w:rPr>
          <w:rFonts w:ascii="黑体" w:hAnsi="黑体" w:cs="黑体" w:hint="eastAsia" w:eastAsia="黑体"/>
          <w:b w:val="false"/>
          <w:bCs w:val="false"/>
          <w:sz w:val="32"/>
          <w:szCs w:val="32"/>
        </w:rPr>
        <w:t>二十九</w:t>
      </w:r>
      <w:r>
        <w:rPr>
          <w:rFonts w:ascii="黑体" w:hAnsi="黑体" w:cs="黑体" w:hint="eastAsia" w:eastAsia="黑体"/>
          <w:b w:val="false"/>
          <w:bCs w:val="false"/>
          <w:sz w:val="32"/>
          <w:szCs w:val="32"/>
          <w:lang w:eastAsia="zh-CN"/>
        </w:rPr>
        <w:t>条</w:t>
      </w:r>
      <w:r>
        <w:rPr>
          <w:rFonts w:ascii="黑体" w:hAnsi="黑体" w:cs="黑体" w:hint="eastAsia" w:eastAsia="黑体"/>
          <w:b w:val="false"/>
          <w:bCs w:val="false"/>
          <w:sz w:val="32"/>
          <w:szCs w:val="32"/>
        </w:rPr>
        <w:t xml:space="preserve">  </w:t>
      </w:r>
      <w:r>
        <w:rPr>
          <w:rFonts w:ascii="仿宋_GB2312" w:hAnsi="仿宋_GB2312" w:cs="仿宋_GB2312" w:hint="eastAsia"/>
          <w:b w:val="false"/>
          <w:bCs w:val="false"/>
          <w:sz w:val="32"/>
          <w:szCs w:val="32"/>
        </w:rPr>
        <w:t>市、区</w:t>
      </w:r>
      <w:r>
        <w:rPr>
          <w:rFonts w:ascii="仿宋_GB2312" w:hAnsi="仿宋_GB2312" w:cs="仿宋_GB2312" w:hint="eastAsia"/>
          <w:kern w:val="2"/>
          <w:sz w:val="32"/>
          <w:szCs w:val="32"/>
        </w:rPr>
        <w:t>人民法院依法全面平等保护市场主体合法权益</w:t>
      </w:r>
      <w:r>
        <w:rPr>
          <w:rFonts w:ascii="仿宋_GB2312" w:hAnsi="仿宋_GB2312" w:cs="仿宋_GB2312" w:hint="eastAsia"/>
          <w:i w:val="false"/>
          <w:iCs w:val="false"/>
          <w:kern w:val="2"/>
          <w:sz w:val="32"/>
          <w:szCs w:val="32"/>
        </w:rPr>
        <w:t>，推行破产案件审理的繁简分流</w:t>
      </w:r>
      <w:r>
        <w:rPr>
          <w:rFonts w:ascii="仿宋_GB2312" w:hAnsi="仿宋_GB2312" w:cs="仿宋_GB2312" w:hint="eastAsia"/>
          <w:kern w:val="2"/>
          <w:sz w:val="32"/>
          <w:szCs w:val="32"/>
        </w:rPr>
        <w:t>，及时审结案件。</w:t>
      </w:r>
    </w:p>
    <w:p>
      <w:pPr>
        <w:pStyle w:val="Normal"/>
        <w:keepNext w:val="false"/>
        <w:keepLines w:val="false"/>
        <w:pageBreakBefore w:val="false"/>
        <w:kinsoku w:val="true"/>
        <w:overflowPunct w:val="true"/>
        <w:bidi w:val="0"/>
        <w:snapToGrid w:val="false"/>
        <w:spacing w:lineRule="exact" w:line="60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b w:val="false"/>
          <w:bCs w:val="false"/>
          <w:sz w:val="32"/>
          <w:szCs w:val="32"/>
        </w:rPr>
        <w:t>本市支持</w:t>
      </w:r>
      <w:r>
        <w:rPr>
          <w:rFonts w:ascii="仿宋_GB2312" w:hAnsi="仿宋_GB2312" w:cs="仿宋_GB2312" w:hint="eastAsia"/>
          <w:sz w:val="32"/>
          <w:szCs w:val="32"/>
        </w:rPr>
        <w:t>人民法院依法促进困境市场主体重整再生，探索建立个人债务集中清理机制。</w:t>
      </w:r>
    </w:p>
    <w:p>
      <w:pPr>
        <w:pStyle w:val="Normal"/>
        <w:keepNext w:val="false"/>
        <w:keepLines w:val="false"/>
        <w:pageBreakBefore w:val="false"/>
        <w:kinsoku w:val="true"/>
        <w:overflowPunct w:val="true"/>
        <w:bidi w:val="0"/>
        <w:snapToGrid w:val="false"/>
        <w:spacing w:lineRule="exact" w:line="60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b w:val="false"/>
          <w:bCs w:val="false"/>
          <w:sz w:val="32"/>
          <w:szCs w:val="32"/>
          <w:lang w:eastAsia="zh-CN"/>
        </w:rPr>
        <w:t>第</w:t>
      </w:r>
      <w:r>
        <w:rPr>
          <w:rFonts w:ascii="黑体" w:hAnsi="黑体" w:cs="黑体" w:hint="eastAsia" w:eastAsia="黑体"/>
          <w:b w:val="false"/>
          <w:bCs w:val="false"/>
          <w:sz w:val="32"/>
          <w:szCs w:val="32"/>
        </w:rPr>
        <w:t>三十</w:t>
      </w:r>
      <w:r>
        <w:rPr>
          <w:rFonts w:ascii="黑体" w:hAnsi="黑体" w:cs="黑体" w:hint="eastAsia" w:eastAsia="黑体"/>
          <w:b w:val="false"/>
          <w:bCs w:val="false"/>
          <w:sz w:val="32"/>
          <w:szCs w:val="32"/>
          <w:lang w:eastAsia="zh-CN"/>
        </w:rPr>
        <w:t>条</w:t>
      </w:r>
      <w:r>
        <w:rPr>
          <w:rFonts w:ascii="黑体" w:hAnsi="黑体" w:cs="黑体" w:hint="eastAsia" w:eastAsia="黑体"/>
          <w:b w:val="false"/>
          <w:bCs w:val="false"/>
          <w:sz w:val="32"/>
          <w:szCs w:val="32"/>
        </w:rPr>
        <w:t xml:space="preserve">  </w:t>
      </w:r>
      <w:r>
        <w:rPr>
          <w:rFonts w:ascii="仿宋_GB2312" w:hAnsi="仿宋_GB2312" w:cs="仿宋_GB2312" w:hint="eastAsia"/>
          <w:sz w:val="32"/>
          <w:szCs w:val="32"/>
        </w:rPr>
        <w:t>市、区人民政府有关部门以及金融机构在人民法院裁定受</w:t>
      </w:r>
      <w:r>
        <w:rPr>
          <w:rFonts w:ascii="CESI仿宋-GB2312;方正仿宋_GBK" w:hAnsi="CESI仿宋-GB2312;方正仿宋_GBK" w:cs="CESI仿宋-GB2312;方正仿宋_GBK" w:hint="eastAsia" w:eastAsia="CESI仿宋-GB2312;方正仿宋_GBK"/>
          <w:sz w:val="32"/>
          <w:szCs w:val="32"/>
        </w:rPr>
        <w:t>理企业破产</w:t>
      </w:r>
      <w:r>
        <w:rPr>
          <w:rFonts w:ascii="仿宋_GB2312" w:hAnsi="仿宋_GB2312" w:cs="仿宋_GB2312" w:hint="eastAsia"/>
          <w:sz w:val="32"/>
          <w:szCs w:val="32"/>
        </w:rPr>
        <w:t>申请后，依法支持和配合破产管理人履行接管、调查、管理、处分破产企业财产等职责。</w:t>
      </w:r>
    </w:p>
    <w:p>
      <w:pPr>
        <w:pStyle w:val="Normal"/>
        <w:keepNext w:val="false"/>
        <w:keepLines w:val="false"/>
        <w:pageBreakBefore w:val="false"/>
        <w:kinsoku w:val="true"/>
        <w:overflowPunct w:val="true"/>
        <w:bidi w:val="0"/>
        <w:snapToGrid w:val="false"/>
        <w:spacing w:lineRule="exact" w:line="60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color w:val="000000"/>
          <w:kern w:val="2"/>
          <w:sz w:val="32"/>
          <w:szCs w:val="32"/>
        </w:rPr>
        <w:t>市人民政府应当会同同级人民法院</w:t>
      </w:r>
      <w:r>
        <w:rPr>
          <w:rFonts w:ascii="仿宋_GB2312" w:hAnsi="仿宋_GB2312" w:cs="仿宋_GB2312" w:hint="eastAsia"/>
          <w:kern w:val="2"/>
          <w:sz w:val="32"/>
          <w:szCs w:val="32"/>
        </w:rPr>
        <w:t>建立破产资产网络信息交互平</w:t>
      </w:r>
      <w:r>
        <w:rPr>
          <w:rFonts w:ascii="仿宋_GB2312" w:hAnsi="仿宋_GB2312" w:cs="仿宋_GB2312" w:hint="eastAsia"/>
          <w:sz w:val="32"/>
          <w:szCs w:val="32"/>
        </w:rPr>
        <w:t>台，加强与</w:t>
      </w:r>
      <w:r>
        <w:rPr>
          <w:rFonts w:ascii="仿宋_GB2312" w:hAnsi="仿宋_GB2312" w:cs="仿宋_GB2312" w:hint="eastAsia"/>
          <w:sz w:val="32"/>
          <w:szCs w:val="32"/>
          <w:lang w:eastAsia="zh-CN"/>
        </w:rPr>
        <w:t>破产</w:t>
      </w:r>
      <w:r>
        <w:rPr>
          <w:rFonts w:ascii="仿宋_GB2312" w:hAnsi="仿宋_GB2312" w:cs="仿宋_GB2312" w:hint="eastAsia"/>
          <w:sz w:val="32"/>
          <w:szCs w:val="32"/>
        </w:rPr>
        <w:t>管理人、金融机构的信息沟通和数据共享，提升有关市场主体信息获取便利度。市人民政府及其有关部门应当建立企业重整投融资平台，引入金融机构为有重整价值的企业继续经营提供流动资金支持。</w:t>
      </w:r>
    </w:p>
    <w:p>
      <w:pPr>
        <w:pStyle w:val="Normal"/>
        <w:keepNext w:val="false"/>
        <w:keepLines w:val="false"/>
        <w:pageBreakBefore w:val="false"/>
        <w:kinsoku w:val="true"/>
        <w:overflowPunct w:val="true"/>
        <w:bidi w:val="0"/>
        <w:snapToGrid w:val="false"/>
        <w:spacing w:lineRule="exact" w:line="60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市、区人民政府与人民法院建立企业破产工作协调机制，协调解决企业破产风险预警、重整价值识别、破产启动、职工安置、金融协调与融资支持、资产处置、信用修复、涉税事项处理、破产重整、工商变更注销、破产费用保障等问题。</w:t>
      </w:r>
    </w:p>
    <w:p>
      <w:pPr>
        <w:pStyle w:val="Normal"/>
        <w:keepNext w:val="false"/>
        <w:keepLines w:val="false"/>
        <w:pageBreakBefore w:val="false"/>
        <w:kinsoku w:val="true"/>
        <w:overflowPunct w:val="true"/>
        <w:bidi w:val="0"/>
        <w:snapToGrid w:val="false"/>
        <w:spacing w:lineRule="exact" w:line="60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sz w:val="32"/>
          <w:szCs w:val="32"/>
        </w:rPr>
        <w:t>鼓励金融机构建立和完善与破产程序相衔接的金融服务工作机制，加强对企业破产重整、破产和解的支持。企业重整计划执行完毕后，市、区人民政府有关部门以及人民法院应当协助重整企业进行信用修复。</w:t>
      </w:r>
    </w:p>
    <w:p>
      <w:pPr>
        <w:pStyle w:val="Normal"/>
        <w:keepNext w:val="false"/>
        <w:keepLines w:val="false"/>
        <w:pageBreakBefore w:val="false"/>
        <w:numPr>
          <w:ilvl w:val="0"/>
          <w:numId w:val="0"/>
        </w:numPr>
        <w:kinsoku w:val="true"/>
        <w:overflowPunct w:val="true"/>
        <w:bidi w:val="0"/>
        <w:snapToGrid w:val="false"/>
        <w:spacing w:lineRule="exact" w:line="600"/>
        <w:ind w:firstLineChars="200" w:startChars="0" w:start="0" w:endChars="0" w:end="0"/>
        <w:jc w:val="both"/>
        <w:outlineLvl w:val="2"/>
        <w:rPr>
          <w:rFonts w:ascii="仿宋_GB2312" w:hAnsi="仿宋_GB2312" w:eastAsia="仿宋_GB2312" w:cs="仿宋_GB2312" w:hint="eastAsia"/>
          <w:color w:val="000000"/>
          <w:sz w:val="32"/>
          <w:szCs w:val="32"/>
        </w:rPr>
      </w:pPr>
      <w:r>
        <w:rPr>
          <w:rFonts w:ascii="黑体" w:hAnsi="黑体" w:cs="黑体" w:hint="eastAsia" w:eastAsia="黑体"/>
          <w:b w:val="false"/>
          <w:bCs w:val="false"/>
          <w:sz w:val="32"/>
          <w:szCs w:val="32"/>
          <w:lang w:eastAsia="zh-CN"/>
        </w:rPr>
        <w:t>第</w:t>
      </w:r>
      <w:r>
        <w:rPr>
          <w:rFonts w:ascii="黑体" w:hAnsi="黑体" w:cs="黑体" w:hint="eastAsia" w:eastAsia="黑体"/>
          <w:b w:val="false"/>
          <w:bCs w:val="false"/>
          <w:sz w:val="32"/>
          <w:szCs w:val="32"/>
        </w:rPr>
        <w:t>三十一</w:t>
      </w:r>
      <w:r>
        <w:rPr>
          <w:rFonts w:ascii="黑体" w:hAnsi="黑体" w:cs="黑体" w:hint="eastAsia" w:eastAsia="黑体"/>
          <w:b w:val="false"/>
          <w:bCs w:val="false"/>
          <w:sz w:val="32"/>
          <w:szCs w:val="32"/>
          <w:lang w:eastAsia="zh-CN"/>
        </w:rPr>
        <w:t>条</w:t>
      </w:r>
      <w:r>
        <w:rPr>
          <w:rFonts w:ascii="黑体" w:hAnsi="黑体" w:cs="黑体" w:hint="eastAsia" w:eastAsia="黑体"/>
          <w:b w:val="false"/>
          <w:bCs w:val="false"/>
          <w:sz w:val="32"/>
          <w:szCs w:val="32"/>
        </w:rPr>
        <w:t xml:space="preserve">  </w:t>
      </w:r>
      <w:r>
        <w:rPr>
          <w:rFonts w:ascii="仿宋_GB2312" w:hAnsi="仿宋_GB2312" w:cs="仿宋_GB2312" w:hint="eastAsia"/>
          <w:color w:val="000000"/>
          <w:sz w:val="32"/>
          <w:szCs w:val="32"/>
        </w:rPr>
        <w:t>市场主体可以通过“市长直通车”等平台或者“</w:t>
      </w:r>
      <w:r>
        <w:rPr>
          <w:rFonts w:eastAsia="宋体" w:cs="宋体" w:hint="eastAsia" w:ascii="宋体" w:hAnsi="宋体"/>
          <w:color w:val="000000"/>
          <w:sz w:val="32"/>
          <w:szCs w:val="32"/>
        </w:rPr>
        <w:t>12345</w:t>
      </w:r>
      <w:r>
        <w:rPr>
          <w:rFonts w:eastAsia="仿宋_GB2312" w:cs="仿宋_GB2312" w:hint="eastAsia" w:ascii="仿宋_GB2312" w:hAnsi="仿宋_GB2312"/>
          <w:color w:val="000000"/>
          <w:sz w:val="32"/>
          <w:szCs w:val="32"/>
        </w:rPr>
        <w:t>”</w:t>
      </w:r>
      <w:r>
        <w:rPr>
          <w:rFonts w:ascii="仿宋_GB2312" w:hAnsi="仿宋_GB2312" w:cs="仿宋_GB2312" w:hint="eastAsia"/>
          <w:color w:val="000000"/>
          <w:sz w:val="32"/>
          <w:szCs w:val="32"/>
        </w:rPr>
        <w:t>政务服务热线等方式，对市场主体政务服务等工作提出意见建议，对侵害市场主体合法权益等违法行为进行投诉举报。市、区人民政府有关部门应当在一个工作日内提出初步办理意见，并在法律法规规定的期限内办结并向建议人、举报人反馈结果。</w:t>
      </w:r>
    </w:p>
    <w:p>
      <w:pPr>
        <w:pStyle w:val="Normal"/>
        <w:keepNext w:val="false"/>
        <w:keepLines w:val="false"/>
        <w:pageBreakBefore w:val="false"/>
        <w:widowControl/>
        <w:kinsoku w:val="true"/>
        <w:overflowPunct w:val="true"/>
        <w:bidi w:val="0"/>
        <w:snapToGrid w:val="false"/>
        <w:spacing w:lineRule="exact" w:line="600"/>
        <w:ind w:firstLineChars="200" w:startChars="0" w:start="0" w:endChars="0" w:end="0"/>
        <w:jc w:val="both"/>
        <w:rPr>
          <w:rFonts w:ascii="仿宋_GB2312" w:hAnsi="仿宋_GB2312" w:eastAsia="仿宋_GB2312" w:cs="仿宋_GB2312" w:hint="eastAsia"/>
          <w:i w:val="false"/>
          <w:iCs w:val="false"/>
          <w:sz w:val="32"/>
          <w:szCs w:val="32"/>
          <w:u w:val="none"/>
        </w:rPr>
      </w:pPr>
      <w:r>
        <w:rPr>
          <w:rFonts w:ascii="仿宋_GB2312" w:hAnsi="仿宋_GB2312" w:cs="仿宋_GB2312" w:hint="eastAsia"/>
          <w:i w:val="false"/>
          <w:iCs w:val="false"/>
          <w:sz w:val="32"/>
          <w:szCs w:val="32"/>
          <w:u w:val="none"/>
        </w:rPr>
        <w:t>市、区人民政府应当建立在市场主体调研、座谈、走访等工作期间，对市场主体反映意见、提出建议的收集处理反馈机制。</w:t>
      </w:r>
    </w:p>
    <w:p>
      <w:pPr>
        <w:pStyle w:val="Normal"/>
        <w:keepNext w:val="false"/>
        <w:keepLines w:val="false"/>
        <w:pageBreakBefore w:val="false"/>
        <w:widowControl w:val="false"/>
        <w:numPr>
          <w:ilvl w:val="0"/>
          <w:numId w:val="0"/>
        </w:numPr>
        <w:kinsoku w:val="true"/>
        <w:overflowPunct w:val="true"/>
        <w:bidi w:val="0"/>
        <w:snapToGrid w:val="false"/>
        <w:spacing w:lineRule="exact" w:line="600"/>
        <w:ind w:firstLineChars="200" w:startChars="0" w:start="0" w:endChars="0" w:end="0"/>
        <w:jc w:val="both"/>
        <w:outlineLvl w:val="2"/>
        <w:rPr>
          <w:rFonts w:ascii="仿宋_GB2312" w:hAnsi="仿宋_GB2312" w:eastAsia="仿宋_GB2312" w:cs="仿宋_GB2312" w:hint="eastAsia"/>
          <w:i w:val="false"/>
          <w:iCs w:val="false"/>
          <w:sz w:val="32"/>
          <w:szCs w:val="32"/>
          <w:u w:val="none"/>
        </w:rPr>
      </w:pPr>
      <w:r>
        <w:rPr>
          <w:rFonts w:ascii="黑体" w:hAnsi="黑体" w:cs="黑体" w:hint="eastAsia" w:eastAsia="黑体"/>
          <w:sz w:val="32"/>
          <w:szCs w:val="32"/>
        </w:rPr>
        <w:t>第三十二条</w:t>
      </w:r>
      <w:r>
        <w:rPr>
          <w:rFonts w:ascii="黑体" w:hAnsi="黑体" w:cs="黑体" w:hint="eastAsia" w:eastAsia="黑体"/>
          <w:b w:val="false"/>
          <w:bCs w:val="false"/>
          <w:sz w:val="32"/>
          <w:szCs w:val="32"/>
        </w:rPr>
        <w:t xml:space="preserve">  </w:t>
      </w:r>
      <w:r>
        <w:rPr>
          <w:rFonts w:ascii="仿宋_GB2312" w:hAnsi="仿宋_GB2312" w:cs="仿宋_GB2312" w:hint="eastAsia"/>
          <w:b w:val="false"/>
          <w:bCs w:val="false"/>
          <w:i w:val="false"/>
          <w:iCs w:val="false"/>
          <w:sz w:val="32"/>
          <w:szCs w:val="32"/>
          <w:u w:val="none"/>
        </w:rPr>
        <w:t>市、区司法行政部门应当</w:t>
      </w:r>
      <w:r>
        <w:rPr>
          <w:rFonts w:ascii="仿宋_GB2312" w:hAnsi="仿宋_GB2312" w:cs="仿宋_GB2312" w:hint="eastAsia"/>
          <w:i w:val="false"/>
          <w:iCs w:val="false"/>
          <w:sz w:val="32"/>
          <w:szCs w:val="32"/>
          <w:u w:val="none"/>
        </w:rPr>
        <w:t>加强公共法律服务体系建设，整合律师、公证、法律援助、司法鉴定、调解、仲裁等公共法律服务资源，加强服务网络建设，为市场主体提供法律咨询、合同审查、知识产权保护、股权设计、融资、税务、劳动用工、涉外纠纷等全链条的法律服务。</w:t>
      </w:r>
    </w:p>
    <w:p>
      <w:pPr>
        <w:pStyle w:val="Style17"/>
        <w:keepNext w:val="false"/>
        <w:keepLines w:val="false"/>
        <w:pageBreakBefore w:val="false"/>
        <w:kinsoku w:val="true"/>
        <w:overflowPunct w:val="true"/>
        <w:bidi w:val="0"/>
        <w:snapToGrid w:val="false"/>
        <w:spacing w:lineRule="exact" w:line="600"/>
        <w:ind w:firstLineChars="0" w:firstLine="0" w:endChars="0" w:end="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市、区司法行政部门可以通过购买服务等方式，为符合条件的市场主体免费提供法治体检、合规管理等专项法律服务。</w:t>
      </w:r>
    </w:p>
    <w:p>
      <w:pPr>
        <w:pStyle w:val="TOC2"/>
        <w:keepNext w:val="false"/>
        <w:keepLines w:val="false"/>
        <w:pageBreakBefore w:val="false"/>
        <w:kinsoku w:val="true"/>
        <w:overflowPunct w:val="true"/>
        <w:bidi w:val="0"/>
        <w:snapToGrid w:val="false"/>
        <w:spacing w:lineRule="exact" w:line="600"/>
        <w:ind w:firstLineChars="200" w:startChars="0" w:start="0" w:endChars="0" w:end="0"/>
        <w:jc w:val="both"/>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第三十三条  </w:t>
      </w:r>
      <w:r>
        <w:rPr>
          <w:rFonts w:ascii="仿宋_GB2312" w:hAnsi="仿宋_GB2312" w:cs="仿宋_GB2312" w:hint="eastAsia"/>
          <w:sz w:val="32"/>
          <w:szCs w:val="32"/>
        </w:rPr>
        <w:t>市人民政府及</w:t>
      </w:r>
      <w:r>
        <w:rPr>
          <w:rFonts w:ascii="仿宋_GB2312" w:hAnsi="仿宋_GB2312" w:cs="仿宋_GB2312" w:hint="eastAsia"/>
          <w:b w:val="false"/>
          <w:bCs w:val="false"/>
          <w:sz w:val="32"/>
          <w:szCs w:val="32"/>
        </w:rPr>
        <w:t>其</w:t>
      </w:r>
      <w:r>
        <w:rPr>
          <w:rFonts w:ascii="仿宋_GB2312" w:hAnsi="仿宋_GB2312" w:cs="仿宋_GB2312" w:hint="eastAsia"/>
          <w:sz w:val="32"/>
          <w:szCs w:val="32"/>
        </w:rPr>
        <w:t>有关部门应当探索建立统一的在线商事纠纷多元化解平台，推进商事纠纷在线咨询、在线评估、在线分流、在线调解和在线确认工作，高效化解市场主体在金融、知识产权、房屋租售和其他商事领域的纠纷。　　</w:t>
      </w:r>
    </w:p>
    <w:p>
      <w:pPr>
        <w:pStyle w:val="Normal"/>
        <w:keepNext w:val="false"/>
        <w:keepLines w:val="false"/>
        <w:pageBreakBefore w:val="false"/>
        <w:numPr>
          <w:ilvl w:val="0"/>
          <w:numId w:val="0"/>
        </w:numPr>
        <w:kinsoku w:val="true"/>
        <w:overflowPunct w:val="true"/>
        <w:bidi w:val="0"/>
        <w:snapToGrid w:val="false"/>
        <w:spacing w:lineRule="exact" w:line="600"/>
        <w:ind w:firstLineChars="200" w:startChars="0" w:start="0" w:endChars="0" w:end="0"/>
        <w:jc w:val="both"/>
        <w:outlineLvl w:val="2"/>
        <w:rPr>
          <w:rFonts w:ascii="仿宋_GB2312" w:hAnsi="仿宋_GB2312" w:eastAsia="仿宋_GB2312" w:cs="仿宋_GB2312" w:hint="eastAsia"/>
          <w:sz w:val="32"/>
          <w:szCs w:val="32"/>
        </w:rPr>
      </w:pPr>
      <w:r>
        <w:rPr>
          <w:rFonts w:ascii="仿宋_GB2312" w:hAnsi="仿宋_GB2312" w:cs="仿宋_GB2312" w:hint="eastAsia"/>
          <w:sz w:val="32"/>
          <w:szCs w:val="32"/>
        </w:rPr>
        <w:t>市人民政府应当建立扶持市场主体应对国际贸易摩擦机制；市、区人民政府有关部门应当支持市场主体深度参与国际贸易摩擦案件应对研究和行业损害索赔抗辩，引导市场主体集体</w:t>
      </w:r>
      <w:r>
        <w:rPr>
          <w:rFonts w:ascii="仿宋_GB2312" w:hAnsi="仿宋_GB2312" w:cs="仿宋_GB2312" w:hint="eastAsia"/>
          <w:i w:val="false"/>
          <w:iCs w:val="false"/>
          <w:sz w:val="32"/>
          <w:szCs w:val="32"/>
          <w:u w:val="none"/>
        </w:rPr>
        <w:t>维权</w:t>
      </w:r>
      <w:r>
        <w:rPr>
          <w:rFonts w:ascii="仿宋_GB2312" w:hAnsi="仿宋_GB2312" w:cs="仿宋_GB2312" w:hint="eastAsia"/>
          <w:sz w:val="32"/>
          <w:szCs w:val="32"/>
        </w:rPr>
        <w:t>，提升市场主体贸易风险防范与应对能力，维护市场主体正当权益。</w:t>
      </w:r>
    </w:p>
    <w:p>
      <w:pPr>
        <w:pStyle w:val="TOC2"/>
        <w:keepNext w:val="false"/>
        <w:keepLines w:val="false"/>
        <w:pageBreakBefore w:val="false"/>
        <w:kinsoku w:val="true"/>
        <w:overflowPunct w:val="true"/>
        <w:bidi w:val="0"/>
        <w:snapToGrid w:val="false"/>
        <w:spacing w:lineRule="exact" w:line="600"/>
        <w:jc w:val="both"/>
        <w:rPr>
          <w:rFonts w:ascii="仿宋_GB2312" w:hAnsi="仿宋_GB2312" w:eastAsia="仿宋_GB2312" w:cs="仿宋_GB2312" w:hint="eastAsia"/>
          <w:sz w:val="28"/>
          <w:szCs w:val="28"/>
        </w:rPr>
      </w:pPr>
      <w:r>
        <w:rPr>
          <w:rFonts w:eastAsia="仿宋_GB2312" w:cs="仿宋_GB2312" w:hint="eastAsia" w:ascii="仿宋_GB2312" w:hAnsi="仿宋_GB2312"/>
          <w:sz w:val="28"/>
          <w:szCs w:val="28"/>
        </w:rPr>
      </w:r>
    </w:p>
    <w:p>
      <w:pPr>
        <w:pStyle w:val="Normal"/>
        <w:keepNext w:val="false"/>
        <w:keepLines w:val="false"/>
        <w:pageBreakBefore w:val="false"/>
        <w:numPr>
          <w:ilvl w:val="0"/>
          <w:numId w:val="1"/>
        </w:numPr>
        <w:kinsoku w:val="true"/>
        <w:overflowPunct w:val="true"/>
        <w:bidi w:val="0"/>
        <w:snapToGrid w:val="false"/>
        <w:spacing w:lineRule="exact" w:line="600"/>
        <w:ind w:firstLineChars="0" w:firstLine="0" w:startChars="0" w:start="0" w:endChars="0" w:end="0"/>
        <w:jc w:val="center"/>
        <w:outlineLvl w:val="1"/>
        <w:rPr>
          <w:rFonts w:ascii="黑体" w:hAnsi="黑体" w:eastAsia="黑体" w:cs="黑体" w:hint="eastAsia"/>
          <w:i w:val="false"/>
          <w:iCs w:val="false"/>
          <w:sz w:val="32"/>
          <w:szCs w:val="32"/>
          <w:u w:val="none"/>
          <w:lang w:eastAsia="zh-CN"/>
        </w:rPr>
      </w:pPr>
      <w:r>
        <w:rPr>
          <w:rFonts w:eastAsia="黑体" w:cs="黑体" w:ascii="黑体" w:hAnsi="黑体"/>
          <w:sz w:val="32"/>
          <w:szCs w:val="32"/>
        </w:rPr>
        <w:t xml:space="preserve"> </w:t>
      </w:r>
      <w:r>
        <w:rPr>
          <w:rFonts w:ascii="黑体" w:hAnsi="黑体" w:cs="黑体" w:hint="eastAsia" w:eastAsia="黑体"/>
          <w:i w:val="false"/>
          <w:iCs w:val="false"/>
          <w:sz w:val="32"/>
          <w:szCs w:val="32"/>
          <w:u w:val="none"/>
        </w:rPr>
        <w:t>法律责任</w:t>
      </w:r>
    </w:p>
    <w:p>
      <w:pPr>
        <w:pStyle w:val="TOC2"/>
        <w:keepNext w:val="false"/>
        <w:keepLines w:val="false"/>
        <w:pageBreakBefore w:val="false"/>
        <w:kinsoku w:val="true"/>
        <w:overflowPunct w:val="true"/>
        <w:bidi w:val="0"/>
        <w:snapToGrid w:val="false"/>
        <w:spacing w:lineRule="exact" w:line="600"/>
        <w:rPr>
          <w:rFonts w:ascii="黑体" w:hAnsi="黑体" w:eastAsia="黑体" w:cs="黑体" w:hint="eastAsia"/>
          <w:i w:val="false"/>
          <w:iCs w:val="false"/>
          <w:sz w:val="32"/>
          <w:szCs w:val="32"/>
          <w:u w:val="none"/>
          <w:lang w:eastAsia="zh-CN"/>
        </w:rPr>
      </w:pPr>
      <w:r>
        <w:rPr>
          <w:rFonts w:eastAsia="黑体" w:cs="黑体" w:hint="eastAsia" w:ascii="黑体" w:hAnsi="黑体"/>
          <w:i w:val="false"/>
          <w:iCs w:val="false"/>
          <w:sz w:val="32"/>
          <w:szCs w:val="32"/>
          <w:u w:val="none"/>
          <w:lang w:eastAsia="zh-CN"/>
        </w:rPr>
      </w:r>
    </w:p>
    <w:p>
      <w:pPr>
        <w:pStyle w:val="Normal"/>
        <w:keepNext w:val="false"/>
        <w:keepLines w:val="false"/>
        <w:pageBreakBefore w:val="false"/>
        <w:widowControl w:val="false"/>
        <w:numPr>
          <w:ilvl w:val="0"/>
          <w:numId w:val="0"/>
        </w:numPr>
        <w:kinsoku w:val="true"/>
        <w:overflowPunct w:val="true"/>
        <w:bidi w:val="0"/>
        <w:snapToGrid w:val="false"/>
        <w:spacing w:lineRule="exact" w:line="600"/>
        <w:ind w:firstLineChars="200" w:startChars="0" w:start="0" w:endChars="0" w:end="0"/>
        <w:jc w:val="both"/>
        <w:outlineLvl w:val="2"/>
        <w:rPr>
          <w:rFonts w:ascii="仿宋_GB2312" w:hAnsi="仿宋_GB2312" w:eastAsia="仿宋_GB2312" w:cs="仿宋_GB2312" w:hint="eastAsia"/>
          <w:i/>
          <w:iCs/>
          <w:color w:val="000000"/>
          <w:kern w:val="2"/>
          <w:sz w:val="32"/>
          <w:szCs w:val="32"/>
          <w:u w:val="single"/>
        </w:rPr>
      </w:pPr>
      <w:r>
        <w:rPr>
          <w:rFonts w:ascii="黑体" w:hAnsi="黑体" w:cs="黑体" w:hint="eastAsia" w:eastAsia="黑体"/>
          <w:b w:val="false"/>
          <w:bCs w:val="false"/>
          <w:color w:val="000000"/>
          <w:sz w:val="32"/>
          <w:szCs w:val="32"/>
        </w:rPr>
        <w:t>第三十四条</w:t>
      </w:r>
      <w:r>
        <w:rPr>
          <w:rFonts w:ascii="仿宋_GB2312" w:hAnsi="仿宋_GB2312" w:cs="仿宋_GB2312" w:hint="eastAsia"/>
          <w:b w:val="false"/>
          <w:bCs w:val="false"/>
          <w:color w:val="000000"/>
          <w:sz w:val="32"/>
          <w:szCs w:val="32"/>
        </w:rPr>
        <w:t xml:space="preserve">  </w:t>
      </w:r>
      <w:r>
        <w:rPr>
          <w:rFonts w:ascii="仿宋_GB2312" w:hAnsi="仿宋_GB2312" w:cs="仿宋_GB2312" w:hint="eastAsia"/>
          <w:color w:val="000000"/>
          <w:sz w:val="32"/>
          <w:szCs w:val="32"/>
        </w:rPr>
        <w:t>公用企事业单位违反本条例第二十一条第二款规定，有下列情形之一的，由市、区人民政府有关部门责令改正，依法追究法律责任：</w:t>
      </w:r>
    </w:p>
    <w:p>
      <w:pPr>
        <w:pStyle w:val="Normal"/>
        <w:keepNext w:val="false"/>
        <w:keepLines w:val="false"/>
        <w:pageBreakBefore w:val="false"/>
        <w:kinsoku w:val="true"/>
        <w:overflowPunct w:val="true"/>
        <w:bidi w:val="0"/>
        <w:snapToGrid w:val="false"/>
        <w:spacing w:lineRule="exact" w:line="60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i w:val="false"/>
          <w:iCs w:val="false"/>
          <w:color w:val="000000"/>
          <w:sz w:val="32"/>
          <w:szCs w:val="32"/>
          <w:u w:val="none"/>
        </w:rPr>
        <w:t>（一）</w:t>
      </w:r>
      <w:r>
        <w:rPr>
          <w:rFonts w:ascii="仿宋_GB2312" w:hAnsi="仿宋_GB2312" w:cs="仿宋_GB2312" w:hint="eastAsia"/>
          <w:color w:val="000000"/>
          <w:sz w:val="32"/>
          <w:szCs w:val="32"/>
        </w:rPr>
        <w:t>不向社会公开服务标准、收费标准、办理时限等信息；</w:t>
      </w:r>
    </w:p>
    <w:p>
      <w:pPr>
        <w:pStyle w:val="Normal"/>
        <w:keepNext w:val="false"/>
        <w:keepLines w:val="false"/>
        <w:pageBreakBefore w:val="false"/>
        <w:kinsoku w:val="true"/>
        <w:overflowPunct w:val="true"/>
        <w:bidi w:val="0"/>
        <w:snapToGrid w:val="false"/>
        <w:spacing w:lineRule="exact" w:line="60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i w:val="false"/>
          <w:iCs w:val="false"/>
          <w:color w:val="000000"/>
          <w:sz w:val="32"/>
          <w:szCs w:val="32"/>
          <w:u w:val="none"/>
        </w:rPr>
        <w:t>（二）</w:t>
      </w:r>
      <w:r>
        <w:rPr>
          <w:rFonts w:ascii="仿宋_GB2312" w:hAnsi="仿宋_GB2312" w:cs="仿宋_GB2312" w:hint="eastAsia"/>
          <w:color w:val="000000"/>
          <w:sz w:val="32"/>
          <w:szCs w:val="32"/>
        </w:rPr>
        <w:t>强迫市场主体接受不合理的服务条件；</w:t>
      </w:r>
    </w:p>
    <w:p>
      <w:pPr>
        <w:pStyle w:val="Normal"/>
        <w:keepNext w:val="false"/>
        <w:keepLines w:val="false"/>
        <w:pageBreakBefore w:val="false"/>
        <w:kinsoku w:val="true"/>
        <w:overflowPunct w:val="true"/>
        <w:bidi w:val="0"/>
        <w:snapToGrid w:val="false"/>
        <w:spacing w:lineRule="exact" w:line="600"/>
        <w:ind w:firstLineChars="200" w:startChars="0" w:start="0" w:endChars="0" w:end="0"/>
        <w:jc w:val="both"/>
        <w:rPr>
          <w:rFonts w:ascii="仿宋_GB2312" w:hAnsi="仿宋_GB2312" w:eastAsia="仿宋_GB2312" w:cs="仿宋_GB2312" w:hint="eastAsia"/>
          <w:i/>
          <w:iCs/>
          <w:color w:val="000000"/>
          <w:sz w:val="32"/>
          <w:szCs w:val="32"/>
          <w:u w:val="single"/>
        </w:rPr>
      </w:pPr>
      <w:r>
        <w:rPr>
          <w:rFonts w:ascii="仿宋_GB2312" w:hAnsi="仿宋_GB2312" w:cs="仿宋_GB2312" w:hint="eastAsia"/>
          <w:i w:val="false"/>
          <w:iCs w:val="false"/>
          <w:color w:val="000000"/>
          <w:sz w:val="32"/>
          <w:szCs w:val="32"/>
          <w:u w:val="none"/>
        </w:rPr>
        <w:t>（三）</w:t>
      </w:r>
      <w:r>
        <w:rPr>
          <w:rFonts w:ascii="仿宋_GB2312" w:hAnsi="仿宋_GB2312" w:cs="仿宋_GB2312" w:hint="eastAsia"/>
          <w:color w:val="000000"/>
          <w:sz w:val="32"/>
          <w:szCs w:val="32"/>
        </w:rPr>
        <w:t>违规向市场主体收取费用；</w:t>
      </w:r>
    </w:p>
    <w:p>
      <w:pPr>
        <w:pStyle w:val="Normal"/>
        <w:keepNext w:val="false"/>
        <w:keepLines w:val="false"/>
        <w:pageBreakBefore w:val="false"/>
        <w:widowControl w:val="false"/>
        <w:numPr>
          <w:ilvl w:val="0"/>
          <w:numId w:val="0"/>
        </w:numPr>
        <w:kinsoku w:val="true"/>
        <w:overflowPunct w:val="true"/>
        <w:bidi w:val="0"/>
        <w:snapToGrid w:val="false"/>
        <w:spacing w:lineRule="exact" w:line="600"/>
        <w:ind w:firstLineChars="200" w:startChars="0" w:start="0" w:endChars="0" w:end="0"/>
        <w:jc w:val="both"/>
        <w:outlineLvl w:val="2"/>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（四）违法拒绝或者无正当理由中断服务。</w:t>
      </w:r>
    </w:p>
    <w:p>
      <w:pPr>
        <w:pStyle w:val="Normal"/>
        <w:keepNext w:val="false"/>
        <w:keepLines w:val="false"/>
        <w:pageBreakBefore w:val="false"/>
        <w:widowControl w:val="false"/>
        <w:numPr>
          <w:ilvl w:val="0"/>
          <w:numId w:val="0"/>
        </w:numPr>
        <w:kinsoku w:val="true"/>
        <w:overflowPunct w:val="true"/>
        <w:bidi w:val="0"/>
        <w:snapToGrid w:val="false"/>
        <w:spacing w:lineRule="exact" w:line="600"/>
        <w:ind w:firstLineChars="200" w:startChars="0" w:start="0" w:endChars="0" w:end="0"/>
        <w:jc w:val="both"/>
        <w:outlineLvl w:val="2"/>
        <w:rPr>
          <w:rFonts w:ascii="仿宋_GB2312" w:hAnsi="仿宋_GB2312" w:eastAsia="仿宋_GB2312" w:cs="仿宋_GB2312" w:hint="eastAsia"/>
          <w:i/>
          <w:iCs/>
          <w:kern w:val="2"/>
          <w:sz w:val="32"/>
          <w:szCs w:val="32"/>
          <w:u w:val="single"/>
        </w:rPr>
      </w:pPr>
      <w:r>
        <w:rPr>
          <w:rFonts w:ascii="黑体" w:hAnsi="黑体" w:cs="黑体" w:hint="eastAsia" w:eastAsia="黑体"/>
          <w:b w:val="false"/>
          <w:bCs w:val="false"/>
          <w:sz w:val="32"/>
          <w:szCs w:val="32"/>
        </w:rPr>
        <w:t xml:space="preserve">第三十五条  </w:t>
      </w:r>
      <w:r>
        <w:rPr>
          <w:rFonts w:ascii="仿宋_GB2312" w:hAnsi="仿宋_GB2312" w:cs="仿宋_GB2312" w:hint="eastAsia"/>
          <w:kern w:val="2"/>
          <w:sz w:val="32"/>
          <w:szCs w:val="32"/>
        </w:rPr>
        <w:t>市、区人民政府和有关部门及其工作人员有下列行为之一的，</w:t>
      </w:r>
      <w:r>
        <w:rPr>
          <w:rFonts w:ascii="仿宋_GB2312" w:hAnsi="仿宋_GB2312" w:cs="仿宋_GB2312" w:hint="eastAsia"/>
          <w:kern w:val="2"/>
          <w:sz w:val="32"/>
          <w:szCs w:val="32"/>
          <w:lang w:eastAsia="zh-CN"/>
        </w:rPr>
        <w:t>依法</w:t>
      </w:r>
      <w:r>
        <w:rPr>
          <w:rFonts w:ascii="仿宋_GB2312" w:hAnsi="仿宋_GB2312" w:cs="仿宋_GB2312" w:hint="eastAsia"/>
          <w:kern w:val="2"/>
          <w:sz w:val="32"/>
          <w:szCs w:val="32"/>
        </w:rPr>
        <w:t>依规追究责任：</w:t>
      </w:r>
    </w:p>
    <w:p>
      <w:pPr>
        <w:pStyle w:val="Normal"/>
        <w:keepNext w:val="false"/>
        <w:keepLines w:val="false"/>
        <w:pageBreakBefore w:val="false"/>
        <w:kinsoku w:val="true"/>
        <w:overflowPunct w:val="true"/>
        <w:bidi w:val="0"/>
        <w:snapToGrid w:val="false"/>
        <w:spacing w:lineRule="exact" w:line="600"/>
        <w:ind w:firstLineChars="200" w:startChars="0" w:start="0" w:endChars="0" w:end="0"/>
        <w:jc w:val="both"/>
        <w:rPr>
          <w:rFonts w:ascii="仿宋_GB2312" w:hAnsi="仿宋_GB2312" w:eastAsia="仿宋_GB2312" w:cs="仿宋_GB2312" w:hint="eastAsia"/>
          <w:i/>
          <w:iCs/>
          <w:sz w:val="32"/>
          <w:szCs w:val="32"/>
          <w:u w:val="single"/>
        </w:rPr>
      </w:pPr>
      <w:r>
        <w:rPr>
          <w:rFonts w:ascii="仿宋_GB2312" w:hAnsi="仿宋_GB2312" w:cs="仿宋_GB2312" w:hint="eastAsia"/>
          <w:i w:val="false"/>
          <w:iCs w:val="false"/>
          <w:sz w:val="32"/>
          <w:szCs w:val="32"/>
          <w:u w:val="none"/>
        </w:rPr>
        <w:t>（一）</w:t>
      </w:r>
      <w:r>
        <w:rPr>
          <w:rFonts w:ascii="仿宋_GB2312" w:hAnsi="仿宋_GB2312" w:cs="仿宋_GB2312" w:hint="eastAsia"/>
          <w:i w:val="false"/>
          <w:iCs w:val="false"/>
          <w:color w:val="000000"/>
          <w:sz w:val="32"/>
          <w:szCs w:val="32"/>
          <w:u w:val="none"/>
        </w:rPr>
        <w:t>违反本条例第二十七条第三款规定，违法扩大不良信息、严重失信名单的认定范围，违法增设监管措施和惩戒措施</w:t>
      </w:r>
      <w:r>
        <w:rPr>
          <w:rFonts w:ascii="仿宋_GB2312" w:hAnsi="仿宋_GB2312" w:cs="仿宋_GB2312" w:hint="eastAsia"/>
          <w:color w:val="000000"/>
          <w:sz w:val="32"/>
          <w:szCs w:val="32"/>
        </w:rPr>
        <w:t>；</w:t>
      </w:r>
    </w:p>
    <w:p>
      <w:pPr>
        <w:pStyle w:val="Normal"/>
        <w:keepNext w:val="false"/>
        <w:keepLines w:val="false"/>
        <w:pageBreakBefore w:val="false"/>
        <w:kinsoku w:val="true"/>
        <w:overflowPunct w:val="true"/>
        <w:bidi w:val="0"/>
        <w:snapToGrid w:val="false"/>
        <w:spacing w:lineRule="exact" w:line="600"/>
        <w:ind w:firstLineChars="200" w:startChars="0" w:start="0" w:endChars="0" w:end="0"/>
        <w:jc w:val="both"/>
        <w:rPr>
          <w:rFonts w:ascii="仿宋_GB2312" w:hAnsi="仿宋_GB2312" w:eastAsia="仿宋_GB2312" w:cs="仿宋_GB2312" w:hint="eastAsia"/>
          <w:i/>
          <w:iCs/>
          <w:sz w:val="32"/>
          <w:szCs w:val="32"/>
          <w:u w:val="single"/>
        </w:rPr>
      </w:pPr>
      <w:r>
        <w:rPr>
          <w:rFonts w:ascii="仿宋_GB2312" w:hAnsi="仿宋_GB2312" w:cs="仿宋_GB2312" w:hint="eastAsia"/>
          <w:i w:val="false"/>
          <w:iCs w:val="false"/>
          <w:sz w:val="32"/>
          <w:szCs w:val="32"/>
          <w:u w:val="none"/>
        </w:rPr>
        <w:t>（二）</w:t>
      </w:r>
      <w:r>
        <w:rPr>
          <w:rFonts w:ascii="仿宋_GB2312" w:hAnsi="仿宋_GB2312" w:cs="仿宋_GB2312" w:hint="eastAsia"/>
          <w:sz w:val="32"/>
          <w:szCs w:val="32"/>
        </w:rPr>
        <w:t>违反本条例第三十一条第一款规定，未受理、办理市场主体诉求或者反馈办理结果；</w:t>
      </w:r>
    </w:p>
    <w:p>
      <w:pPr>
        <w:pStyle w:val="Normal"/>
        <w:keepNext w:val="false"/>
        <w:keepLines w:val="false"/>
        <w:pageBreakBefore w:val="false"/>
        <w:kinsoku w:val="true"/>
        <w:overflowPunct w:val="true"/>
        <w:bidi w:val="0"/>
        <w:snapToGrid w:val="false"/>
        <w:spacing w:lineRule="exact" w:line="600"/>
        <w:ind w:firstLineChars="200" w:startChars="0" w:start="0" w:endChars="0" w:end="0"/>
        <w:jc w:val="both"/>
        <w:rPr>
          <w:rFonts w:ascii="仿宋_GB2312" w:hAnsi="仿宋_GB2312" w:eastAsia="仿宋_GB2312" w:cs="仿宋_GB2312" w:hint="eastAsia"/>
          <w:i/>
          <w:iCs/>
          <w:sz w:val="32"/>
          <w:szCs w:val="32"/>
          <w:u w:val="single"/>
        </w:rPr>
      </w:pPr>
      <w:r>
        <w:rPr>
          <w:rFonts w:ascii="仿宋_GB2312" w:hAnsi="仿宋_GB2312" w:cs="仿宋_GB2312" w:hint="eastAsia"/>
          <w:i w:val="false"/>
          <w:iCs w:val="false"/>
          <w:sz w:val="32"/>
          <w:szCs w:val="32"/>
          <w:u w:val="none"/>
        </w:rPr>
        <w:t>（三）其他</w:t>
      </w:r>
      <w:r>
        <w:rPr>
          <w:rFonts w:ascii="仿宋_GB2312" w:hAnsi="仿宋_GB2312" w:cs="仿宋_GB2312" w:hint="eastAsia"/>
          <w:sz w:val="32"/>
          <w:szCs w:val="32"/>
        </w:rPr>
        <w:t>不履行市场主体服务工作职责以及损害市场主体权益的情形</w:t>
      </w:r>
      <w:r>
        <w:rPr>
          <w:rFonts w:ascii="仿宋_GB2312" w:hAnsi="仿宋_GB2312" w:cs="仿宋_GB2312" w:hint="eastAsia"/>
          <w:i w:val="false"/>
          <w:iCs w:val="false"/>
          <w:sz w:val="32"/>
          <w:szCs w:val="32"/>
          <w:u w:val="none"/>
        </w:rPr>
        <w:t>。</w:t>
      </w:r>
    </w:p>
    <w:p>
      <w:pPr>
        <w:pStyle w:val="TOC2"/>
        <w:keepNext w:val="false"/>
        <w:keepLines w:val="false"/>
        <w:pageBreakBefore w:val="false"/>
        <w:numPr>
          <w:ilvl w:val="0"/>
          <w:numId w:val="0"/>
        </w:numPr>
        <w:kinsoku w:val="true"/>
        <w:overflowPunct w:val="true"/>
        <w:bidi w:val="0"/>
        <w:snapToGrid w:val="false"/>
        <w:spacing w:lineRule="exact" w:line="600"/>
        <w:ind w:firstLineChars="0" w:firstLine="0" w:startChars="0" w:start="0" w:endChars="0" w:end="0"/>
        <w:jc w:val="both"/>
        <w:rPr>
          <w:rFonts w:ascii="仿宋_GB2312" w:hAnsi="仿宋_GB2312" w:eastAsia="仿宋_GB2312" w:cs="仿宋_GB2312" w:hint="eastAsia"/>
          <w:i/>
          <w:iCs/>
          <w:sz w:val="28"/>
          <w:szCs w:val="28"/>
          <w:u w:val="single"/>
        </w:rPr>
      </w:pPr>
      <w:r>
        <w:rPr>
          <w:rFonts w:eastAsia="仿宋_GB2312" w:cs="仿宋_GB2312" w:hint="eastAsia" w:ascii="仿宋_GB2312" w:hAnsi="仿宋_GB2312"/>
          <w:i/>
          <w:iCs/>
          <w:sz w:val="28"/>
          <w:szCs w:val="28"/>
          <w:u w:val="single"/>
        </w:rPr>
      </w:r>
    </w:p>
    <w:p>
      <w:pPr>
        <w:pStyle w:val="TOC2"/>
        <w:keepNext w:val="false"/>
        <w:keepLines w:val="false"/>
        <w:pageBreakBefore w:val="false"/>
        <w:numPr>
          <w:ilvl w:val="0"/>
          <w:numId w:val="0"/>
        </w:numPr>
        <w:kinsoku w:val="true"/>
        <w:overflowPunct w:val="true"/>
        <w:bidi w:val="0"/>
        <w:snapToGrid w:val="false"/>
        <w:spacing w:lineRule="exact" w:line="600"/>
        <w:ind w:firstLineChars="0" w:firstLine="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第六章 附则</w:t>
      </w:r>
    </w:p>
    <w:p>
      <w:pPr>
        <w:pStyle w:val="Normal"/>
        <w:keepNext w:val="false"/>
        <w:keepLines w:val="false"/>
        <w:pageBreakBefore w:val="false"/>
        <w:kinsoku w:val="true"/>
        <w:overflowPunct w:val="true"/>
        <w:bidi w:val="0"/>
        <w:snapToGrid w:val="false"/>
        <w:spacing w:lineRule="exact" w:line="600"/>
        <w:rPr>
          <w:rFonts w:ascii="黑体" w:hAnsi="黑体" w:eastAsia="黑体" w:cs="黑体"/>
          <w:sz w:val="32"/>
          <w:szCs w:val="32"/>
        </w:rPr>
      </w:pPr>
      <w:r>
        <w:rPr>
          <w:rFonts w:eastAsia="黑体" w:cs="黑体" w:ascii="黑体" w:hAnsi="黑体"/>
          <w:sz w:val="32"/>
          <w:szCs w:val="32"/>
        </w:rPr>
      </w:r>
    </w:p>
    <w:p>
      <w:pPr>
        <w:pStyle w:val="Normal"/>
        <w:numPr>
          <w:ilvl w:val="0"/>
          <w:numId w:val="0"/>
        </w:numPr>
        <w:spacing w:lineRule="exact" w:line="590"/>
        <w:ind w:firstLineChars="200" w:startChars="0" w:start="0" w:endChars="0" w:end="0"/>
        <w:outlineLvl w:val="1"/>
        <w:rPr/>
      </w:pPr>
      <w:r>
        <w:rPr>
          <w:rFonts w:ascii="黑体" w:hAnsi="黑体" w:cs="黑体" w:hint="eastAsia" w:eastAsia="黑体"/>
          <w:b w:val="false"/>
          <w:bCs w:val="false"/>
          <w:sz w:val="32"/>
          <w:szCs w:val="32"/>
        </w:rPr>
        <w:t xml:space="preserve">第三十六条  </w:t>
      </w:r>
      <w:r>
        <w:rPr>
          <w:rFonts w:ascii="仿宋_GB2312" w:hAnsi="仿宋_GB2312" w:cs="仿宋_GB2312" w:hint="eastAsia"/>
          <w:spacing w:val="6"/>
          <w:sz w:val="32"/>
          <w:szCs w:val="32"/>
        </w:rPr>
        <w:t>本条例自</w:t>
      </w:r>
      <w:r>
        <w:rPr>
          <w:rFonts w:eastAsia="宋体" w:cs="宋体" w:hint="eastAsia" w:ascii="宋体" w:hAnsi="宋体"/>
          <w:spacing w:val="6"/>
          <w:sz w:val="32"/>
          <w:szCs w:val="32"/>
        </w:rPr>
        <w:t>2022</w:t>
      </w:r>
      <w:r>
        <w:rPr>
          <w:rFonts w:ascii="仿宋_GB2312" w:hAnsi="仿宋_GB2312" w:cs="仿宋_GB2312" w:hint="eastAsia"/>
          <w:spacing w:val="6"/>
          <w:sz w:val="32"/>
          <w:szCs w:val="32"/>
        </w:rPr>
        <w:t>年</w:t>
      </w:r>
      <w:r>
        <w:rPr>
          <w:rFonts w:eastAsia="宋体" w:cs="宋体" w:hint="eastAsia" w:ascii="宋体" w:hAnsi="宋体"/>
          <w:spacing w:val="6"/>
          <w:sz w:val="32"/>
          <w:szCs w:val="32"/>
        </w:rPr>
        <w:t>7</w:t>
      </w:r>
      <w:r>
        <w:rPr>
          <w:rFonts w:ascii="仿宋_GB2312" w:hAnsi="仿宋_GB2312" w:cs="仿宋_GB2312" w:hint="eastAsia"/>
          <w:spacing w:val="6"/>
          <w:sz w:val="32"/>
          <w:szCs w:val="32"/>
        </w:rPr>
        <w:t>月</w:t>
      </w:r>
      <w:r>
        <w:rPr>
          <w:rFonts w:eastAsia="宋体" w:cs="宋体" w:hint="eastAsia" w:ascii="宋体" w:hAnsi="宋体"/>
          <w:spacing w:val="6"/>
          <w:sz w:val="32"/>
          <w:szCs w:val="32"/>
        </w:rPr>
        <w:t>1</w:t>
      </w:r>
      <w:r>
        <w:rPr>
          <w:rFonts w:ascii="仿宋_GB2312" w:hAnsi="仿宋_GB2312" w:cs="仿宋_GB2312" w:hint="eastAsia"/>
          <w:spacing w:val="6"/>
          <w:sz w:val="32"/>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charset w:val="86"/>
    <w:family w:val="auto"/>
    <w:pitch w:val="default"/>
  </w:font>
  <w:font w:name="Liberation Sans">
    <w:altName w:val="Arial"/>
    <w:charset w:val="01" w:characterSet="utf-8"/>
    <w:family w:val="swiss"/>
    <w:pitch w:val="variable"/>
  </w:font>
  <w:font w:name="方正仿宋_GBK">
    <w:charset w:val="86"/>
    <w:family w:val="script"/>
    <w:pitch w:val="default"/>
  </w:font>
  <w:font w:name="方正小标宋简体">
    <w:charset w:val="86"/>
    <w:family w:val="auto"/>
    <w:pitch w:val="default"/>
  </w:font>
  <w:font w:name="宋体">
    <w:charset w:val="86"/>
    <w:family w:val="auto"/>
    <w:pitch w:val="default"/>
  </w:font>
  <w:font w:name="Calibri">
    <w:charset w:val="00" w:characterSet="windows-1252"/>
    <w:family w:val="swiss"/>
    <w:pitch w:val="default"/>
  </w:font>
  <w:font w:name="楷体_GB2312">
    <w:charset w:val="86"/>
    <w:family w:val="modern"/>
    <w:pitch w:val="default"/>
  </w:font>
  <w:font w:name="黑体">
    <w:charset w:val="86"/>
    <w:family w:val="auto"/>
    <w:pitch w:val="default"/>
  </w:font>
  <w:font w:name="仿宋_GB2312">
    <w:charset w:val="86"/>
    <w:family w:val="auto"/>
    <w:pitch w:val="default"/>
  </w:font>
  <w:font w:name="CESI仿宋-GB2312">
    <w:altName w:val="方正仿宋_GBK"/>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7"/>
    <w:qFormat/>
    <w:pPr>
      <w:widowControl w:val="false"/>
      <w:bidi w:val="0"/>
      <w:jc w:val="both"/>
    </w:pPr>
    <w:rPr>
      <w:rFonts w:ascii="等线" w:hAnsi="等线" w:eastAsia="仿宋_GB2312" w:cs="Times New Roman"/>
      <w:color w:val="auto"/>
      <w:kern w:val="2"/>
      <w:sz w:val="32"/>
      <w:szCs w:val="32"/>
      <w:lang w:bidi="ar-SA" w:val="en-US" w:eastAsia="zh-CN"/>
    </w:rPr>
  </w:style>
  <w:style w:type="character" w:styleId="WW8Num1z0">
    <w:name w:val="WW8Num1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val="false"/>
      <w:autoSpaceDE w:val="false"/>
      <w:bidi w:val="0"/>
    </w:pPr>
    <w:rPr>
      <w:rFonts w:ascii="方正仿宋_GBK" w:hAnsi="方正仿宋_GBK" w:eastAsia="方正仿宋_GBK" w:cs="Times New Roman" w:hint="eastAsia"/>
      <w:color w:val="000000"/>
      <w:sz w:val="24"/>
      <w:szCs w:val="22"/>
      <w:lang w:bidi="ar-SA" w:val="en-US" w:eastAsia="zh-CN"/>
    </w:rPr>
  </w:style>
  <w:style w:type="paragraph" w:styleId="Style15">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paragraph" w:styleId="TOC2">
    <w:name w:val="toc 2"/>
    <w:basedOn w:val="Normal"/>
    <w:next w:val="Normal"/>
    <w:pPr>
      <w:ind w:hanging="0" w:start="210" w:end="0"/>
    </w:pPr>
    <w:rPr>
      <w:smallCaps/>
      <w:szCs w:val="20"/>
    </w:rPr>
  </w:style>
  <w:style w:type="paragraph" w:styleId="Style16">
    <w:name w:val="纯文本"/>
    <w:basedOn w:val="Normal"/>
    <w:qFormat/>
    <w:pPr/>
    <w:rPr>
      <w:rFonts w:ascii="宋体" w:hAnsi="宋体" w:cs="Courier New"/>
      <w:szCs w:val="21"/>
    </w:rPr>
  </w:style>
  <w:style w:type="paragraph" w:styleId="Style17">
    <w:name w:val="正文缩进"/>
    <w:basedOn w:val="Normal"/>
    <w:next w:val="Normal"/>
    <w:qFormat/>
    <w:pPr>
      <w:ind w:firstLineChars="200" w:startChars="0" w:start="0" w:endChars="0" w:end="0"/>
    </w:pPr>
    <w:rPr>
      <w:rFonts w:ascii="Calibri" w:hAnsi="Calibri" w:eastAsia="宋体" w:cs="Times New Roman"/>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2022-06-28T02:59:00Z</dcterms:created>
  <dc:creator>@xiehaoran</dc:creator>
  <dc:description/>
  <dc:language>en-US</dc:language>
  <cp:lastModifiedBy>413</cp:lastModifiedBy>
  <dcterms:modified xsi:type="dcterms:W3CDTF">2022-07-15T20:39:24Z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2052-10.8.0.6423</vt:lpwstr>
  </property>
</Properties>
</file>