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cs="宋体" w:hint="eastAsia"/>
          <w:b/>
          <w:sz w:val="44"/>
          <w:szCs w:val="44"/>
        </w:rPr>
      </w:pPr>
      <w:r>
        <w:rPr>
          <w:rFonts w:cs="宋体" w:hint="eastAsia" w:ascii="宋体" w:hAnsi="宋体"/>
          <w:b/>
          <w:sz w:val="44"/>
          <w:szCs w:val="44"/>
        </w:rPr>
      </w:r>
    </w:p>
    <w:p>
      <w:pPr>
        <w:pStyle w:val="Normal"/>
        <w:spacing w:lineRule="exact" w:line="560"/>
        <w:jc w:val="center"/>
        <w:rPr>
          <w:rFonts w:ascii="宋体" w:hAnsi="宋体" w:cs="宋体" w:hint="eastAsia"/>
          <w:b/>
          <w:sz w:val="44"/>
          <w:szCs w:val="44"/>
        </w:rPr>
      </w:pPr>
      <w:r>
        <w:rPr>
          <w:rFonts w:cs="宋体" w:hint="eastAsia" w:ascii="宋体" w:hAnsi="宋体"/>
          <w:b/>
          <w:sz w:val="44"/>
          <w:szCs w:val="44"/>
        </w:rPr>
      </w:r>
    </w:p>
    <w:p>
      <w:pPr>
        <w:pStyle w:val="Normal"/>
        <w:spacing w:lineRule="exact" w:line="560"/>
        <w:jc w:val="center"/>
        <w:rPr>
          <w:rFonts w:ascii="宋体" w:hAnsi="宋体" w:cs="宋体" w:hint="eastAsia"/>
          <w:b w:val="false"/>
          <w:bCs/>
          <w:sz w:val="44"/>
          <w:szCs w:val="44"/>
        </w:rPr>
      </w:pPr>
      <w:r>
        <w:rPr>
          <w:rFonts w:ascii="宋体" w:hAnsi="宋体" w:cs="宋体" w:hint="eastAsia"/>
          <w:b w:val="false"/>
          <w:bCs/>
          <w:sz w:val="44"/>
          <w:szCs w:val="44"/>
        </w:rPr>
        <w:t>深圳经济特区金融发展促进条例</w:t>
      </w:r>
    </w:p>
    <w:p>
      <w:pPr>
        <w:pStyle w:val="Normal"/>
        <w:spacing w:lineRule="exact" w:line="540"/>
        <w:jc w:val="center"/>
        <w:rPr>
          <w:rFonts w:ascii="仿宋_GB2312" w:hAnsi="仿宋_GB2312" w:eastAsia="仿宋_GB2312" w:cs="宋体" w:hint="eastAsia"/>
          <w:b w:val="false"/>
          <w:bCs/>
          <w:sz w:val="28"/>
          <w:szCs w:val="44"/>
        </w:rPr>
      </w:pPr>
      <w:r>
        <w:rPr>
          <w:rFonts w:eastAsia="仿宋_GB2312" w:cs="宋体" w:hint="eastAsia" w:ascii="仿宋_GB2312" w:hAnsi="仿宋_GB2312"/>
          <w:b w:val="false"/>
          <w:bCs/>
          <w:sz w:val="28"/>
          <w:szCs w:val="44"/>
        </w:rPr>
      </w:r>
    </w:p>
    <w:p>
      <w:pPr>
        <w:pStyle w:val="Normal"/>
        <w:spacing w:lineRule="exact" w:line="540"/>
        <w:ind w:firstLineChars="0" w:firstLine="0" w:startChars="200" w:endChars="237"/>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日深圳市第四届人民代表大会常务委员会第十八次会议通过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日深圳市第六届人民代表大会常务委员会第三十三次会议《深圳市人民代表大会常务委员会关于修改〈深圳经济特区医疗条例〉等二十七项法规的决定》修正）</w:t>
      </w:r>
    </w:p>
    <w:p>
      <w:pPr>
        <w:pStyle w:val="Normal"/>
        <w:spacing w:lineRule="exact" w:line="540"/>
        <w:jc w:val="center"/>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56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pacing w:lineRule="exact" w:line="560"/>
        <w:ind w:firstLineChars="2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金融机构</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金融人才</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金融创新</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金融布局</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金融合作</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金融生态</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第八章 金融发展委员会</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第九章 监督检查</w:t>
      </w:r>
    </w:p>
    <w:p>
      <w:pPr>
        <w:pStyle w:val="Normal"/>
        <w:spacing w:lineRule="exact" w:line="54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第十章 附则</w:t>
      </w:r>
    </w:p>
    <w:p>
      <w:pPr>
        <w:pStyle w:val="Normal"/>
        <w:spacing w:lineRule="exact" w:line="560"/>
        <w:rPr>
          <w:rFonts w:ascii="仿宋_GB2312" w:hAnsi="仿宋_GB2312" w:eastAsia="仿宋_GB2312" w:cs="楷体_GB2312" w:hint="eastAsia"/>
          <w:sz w:val="32"/>
          <w:szCs w:val="32"/>
        </w:rPr>
      </w:pPr>
      <w:r>
        <w:rPr>
          <w:rFonts w:eastAsia="仿宋_GB2312" w:cs="楷体_GB2312" w:hint="eastAsia" w:ascii="仿宋_GB2312" w:hAnsi="仿宋_GB2312"/>
          <w:sz w:val="32"/>
          <w:szCs w:val="32"/>
        </w:rPr>
      </w:r>
    </w:p>
    <w:p>
      <w:pPr>
        <w:pStyle w:val="Normal"/>
        <w:numPr>
          <w:ilvl w:val="0"/>
          <w:numId w:val="0"/>
        </w:numPr>
        <w:spacing w:lineRule="exact" w:line="560"/>
        <w:jc w:val="center"/>
        <w:outlineLvl w:val="0"/>
        <w:rPr>
          <w:rFonts w:ascii="黑体" w:hAnsi="黑体" w:eastAsia="黑体" w:cs="宋体"/>
          <w:bCs/>
          <w:sz w:val="32"/>
          <w:szCs w:val="32"/>
        </w:rPr>
      </w:pPr>
      <w:r>
        <w:rPr>
          <w:rFonts w:ascii="黑体" w:hAnsi="黑体" w:cs="宋体" w:hint="eastAsia" w:eastAsia="黑体"/>
          <w:bCs/>
          <w:sz w:val="32"/>
          <w:szCs w:val="32"/>
        </w:rPr>
        <w:t xml:space="preserve">第一章 </w:t>
      </w:r>
      <w:r>
        <w:rPr>
          <w:rFonts w:ascii="黑体" w:hAnsi="黑体" w:cs="宋体" w:eastAsia="黑体"/>
          <w:bCs/>
          <w:sz w:val="32"/>
          <w:szCs w:val="32"/>
        </w:rPr>
        <w:t>总则</w:t>
      </w:r>
    </w:p>
    <w:p>
      <w:pPr>
        <w:pStyle w:val="Normal"/>
        <w:numPr>
          <w:ilvl w:val="0"/>
          <w:numId w:val="0"/>
        </w:numPr>
        <w:spacing w:lineRule="exact" w:line="560"/>
        <w:jc w:val="center"/>
        <w:outlineLvl w:val="0"/>
        <w:rPr>
          <w:rFonts w:ascii="黑体" w:hAnsi="黑体" w:eastAsia="黑体" w:cs="宋体"/>
          <w:bCs/>
          <w:sz w:val="32"/>
          <w:szCs w:val="32"/>
        </w:rPr>
      </w:pPr>
      <w:r>
        <w:rPr>
          <w:rFonts w:eastAsia="黑体" w:cs="宋体" w:ascii="黑体" w:hAnsi="黑体"/>
          <w:bCs/>
          <w:sz w:val="32"/>
          <w:szCs w:val="32"/>
        </w:rPr>
      </w:r>
    </w:p>
    <w:p>
      <w:pPr>
        <w:pStyle w:val="Normal"/>
        <w:spacing w:lineRule="exact" w:line="560"/>
        <w:ind w:firstLineChars="200" w:startChars="0" w:start="0" w:endChars="0" w:end="0"/>
        <w:rPr>
          <w:rFonts w:ascii="仿宋_GB2312" w:hAnsi="仿宋_GB2312" w:eastAsia="仿宋_GB2312"/>
          <w:sz w:val="32"/>
          <w:szCs w:val="32"/>
        </w:rPr>
      </w:pPr>
      <w:r>
        <w:rPr>
          <w:rFonts w:ascii="黑体" w:hAnsi="黑体" w:hint="eastAsia" w:eastAsia="黑体"/>
          <w:bCs/>
          <w:sz w:val="32"/>
          <w:szCs w:val="32"/>
        </w:rPr>
        <w:t>第一条</w:t>
      </w:r>
      <w:r>
        <w:rPr>
          <w:rFonts w:ascii="仿宋_GB2312" w:hAnsi="仿宋_GB2312" w:hint="eastAsia" w:eastAsia="仿宋_GB2312"/>
          <w:bCs/>
          <w:sz w:val="32"/>
          <w:szCs w:val="32"/>
        </w:rPr>
        <w:t>　</w:t>
      </w:r>
      <w:r>
        <w:rPr>
          <w:rFonts w:ascii="仿宋_GB2312" w:hAnsi="仿宋_GB2312" w:cs="仿宋" w:hint="eastAsia" w:eastAsia="仿宋_GB2312"/>
          <w:sz w:val="32"/>
          <w:szCs w:val="32"/>
        </w:rPr>
        <w:t>为了促进深圳经济特区（以下简称特区）金融业发展，</w:t>
      </w:r>
      <w:r>
        <w:rPr>
          <w:rFonts w:ascii="黑体" w:hAnsi="黑体" w:cs="仿宋" w:hint="eastAsia" w:eastAsia="仿宋_GB2312"/>
          <w:sz w:val="32"/>
          <w:szCs w:val="32"/>
        </w:rPr>
        <w:t>优化金融生态环境，推动产业结构优化升级，</w:t>
      </w:r>
      <w:r>
        <w:rPr>
          <w:rFonts w:ascii="仿宋" w:hAnsi="仿宋" w:cs="仿宋" w:hint="eastAsia" w:eastAsia="仿宋_GB2312"/>
          <w:sz w:val="32"/>
          <w:szCs w:val="32"/>
        </w:rPr>
        <w:t>制定本条例。</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hint="eastAsia" w:eastAsia="黑体"/>
          <w:bCs/>
          <w:sz w:val="32"/>
          <w:szCs w:val="32"/>
        </w:rPr>
        <w:t>第二条</w:t>
      </w:r>
      <w:r>
        <w:rPr>
          <w:rFonts w:ascii="仿宋_GB2312" w:hAnsi="仿宋_GB2312" w:hint="eastAsia" w:eastAsia="仿宋_GB2312"/>
          <w:bCs/>
          <w:sz w:val="32"/>
          <w:szCs w:val="32"/>
        </w:rPr>
        <w:t>　</w:t>
      </w:r>
      <w:r>
        <w:rPr>
          <w:rFonts w:ascii="仿宋" w:hAnsi="仿宋" w:cs="仿宋" w:hint="eastAsia" w:eastAsia="仿宋_GB2312"/>
          <w:sz w:val="32"/>
          <w:szCs w:val="32"/>
        </w:rPr>
        <w:t>本条例适用于特区内的</w:t>
      </w:r>
      <w:r>
        <w:rPr>
          <w:rFonts w:ascii="黑体" w:hAnsi="黑体" w:cs="黑体" w:hint="eastAsia" w:eastAsia="仿宋_GB2312"/>
          <w:sz w:val="32"/>
          <w:szCs w:val="32"/>
        </w:rPr>
        <w:t>国家</w:t>
      </w:r>
      <w:r>
        <w:rPr>
          <w:rFonts w:ascii="仿宋" w:hAnsi="仿宋" w:cs="仿宋" w:hint="eastAsia" w:eastAsia="仿宋_GB2312"/>
          <w:sz w:val="32"/>
          <w:szCs w:val="32"/>
        </w:rPr>
        <w:t>机关和金融机构、</w:t>
      </w:r>
      <w:r>
        <w:rPr>
          <w:rFonts w:ascii="黑体" w:hAnsi="黑体" w:cs="仿宋" w:hint="eastAsia" w:eastAsia="仿宋_GB2312"/>
          <w:sz w:val="32"/>
          <w:szCs w:val="32"/>
        </w:rPr>
        <w:t>专业</w:t>
      </w:r>
      <w:r>
        <w:rPr>
          <w:rFonts w:ascii="仿宋_GB2312" w:hAnsi="仿宋_GB2312" w:cs="仿宋" w:hint="eastAsia" w:eastAsia="仿宋_GB2312"/>
          <w:sz w:val="32"/>
          <w:szCs w:val="32"/>
        </w:rPr>
        <w:t>服务机构、相关行业组织及其从业人员。</w:t>
      </w:r>
    </w:p>
    <w:p>
      <w:pPr>
        <w:pStyle w:val="3"/>
        <w:spacing w:lineRule="exact" w:line="560"/>
        <w:rPr>
          <w:bCs/>
          <w:szCs w:val="32"/>
        </w:rPr>
      </w:pPr>
      <w:r>
        <w:rPr>
          <w:rFonts w:ascii="黑体" w:hAnsi="黑体" w:eastAsia="黑体"/>
          <w:bCs/>
          <w:szCs w:val="32"/>
        </w:rPr>
        <w:t>第三条</w:t>
      </w:r>
      <w:r>
        <w:rPr>
          <w:bCs/>
          <w:szCs w:val="32"/>
        </w:rPr>
        <w:t>　市人民政府应当把金融业作为战略性支柱产业，以多层次资本市场为核心，以深港金融合作为纽带，巩固提升深圳金融中心城市地位，使深圳成为港深大都会国际金融中心有机组成部分，重点突出投融资、财富管理和金融创新功能。</w:t>
      </w:r>
    </w:p>
    <w:p>
      <w:pPr>
        <w:pStyle w:val="Normal"/>
        <w:spacing w:lineRule="exact" w:line="560"/>
        <w:ind w:firstLineChars="200" w:startChars="0" w:start="0" w:endChars="0" w:end="0"/>
        <w:rPr>
          <w:rFonts w:ascii="仿宋" w:hAnsi="仿宋" w:eastAsia="仿宋" w:cs="仿宋"/>
          <w:sz w:val="32"/>
        </w:rPr>
      </w:pPr>
      <w:r>
        <w:rPr>
          <w:rFonts w:ascii="黑体" w:hAnsi="黑体" w:cs="黑体" w:hint="eastAsia" w:eastAsia="黑体"/>
          <w:bCs/>
          <w:sz w:val="32"/>
        </w:rPr>
        <w:t>第四条　</w:t>
      </w:r>
      <w:r>
        <w:rPr>
          <w:rFonts w:ascii="仿宋" w:hAnsi="仿宋" w:cs="仿宋" w:hint="eastAsia" w:eastAsia="仿宋_GB2312"/>
          <w:sz w:val="32"/>
        </w:rPr>
        <w:t>促进金融业发展应当坚持改革创新、规划统筹、机构人才集聚、深港合作和风险防范的原则，坚持科技与金融结合、实业与金融互动，在现代服务业中优先发展金融业的方针。</w:t>
      </w:r>
    </w:p>
    <w:p>
      <w:pPr>
        <w:pStyle w:val="Normal"/>
        <w:spacing w:lineRule="exact" w:line="560"/>
        <w:ind w:firstLineChars="200" w:startChars="0" w:start="0" w:endChars="0" w:end="0"/>
        <w:rPr>
          <w:rFonts w:ascii="仿宋" w:hAnsi="仿宋" w:eastAsia="仿宋" w:cs="仿宋"/>
          <w:sz w:val="32"/>
        </w:rPr>
      </w:pPr>
      <w:r>
        <w:rPr>
          <w:rFonts w:eastAsia="仿宋" w:cs="仿宋" w:ascii="仿宋" w:hAnsi="仿宋"/>
          <w:sz w:val="32"/>
        </w:rPr>
      </w:r>
    </w:p>
    <w:p>
      <w:pPr>
        <w:pStyle w:val="Normal"/>
        <w:spacing w:lineRule="exact" w:line="560"/>
        <w:ind w:firstLineChars="200" w:startChars="0" w:start="0" w:endChars="0" w:end="0"/>
        <w:jc w:val="center"/>
        <w:rPr>
          <w:rFonts w:ascii="黑体" w:hAnsi="黑体" w:eastAsia="黑体"/>
          <w:bCs/>
          <w:sz w:val="32"/>
          <w:szCs w:val="32"/>
        </w:rPr>
      </w:pPr>
      <w:r>
        <w:rPr>
          <w:rFonts w:ascii="黑体" w:hAnsi="黑体" w:hint="eastAsia" w:eastAsia="黑体"/>
          <w:bCs/>
          <w:sz w:val="32"/>
          <w:szCs w:val="32"/>
        </w:rPr>
        <w:t>第二章</w:t>
      </w:r>
      <w:r>
        <w:rPr>
          <w:rFonts w:ascii="黑体" w:hAnsi="黑体" w:eastAsia="黑体"/>
          <w:bCs/>
          <w:sz w:val="32"/>
          <w:szCs w:val="32"/>
        </w:rPr>
        <w:t xml:space="preserve"> </w:t>
      </w:r>
      <w:r>
        <w:rPr>
          <w:rFonts w:ascii="黑体" w:hAnsi="黑体" w:hint="eastAsia" w:eastAsia="黑体"/>
          <w:bCs/>
          <w:sz w:val="32"/>
          <w:szCs w:val="32"/>
        </w:rPr>
        <w:t>金融机构</w:t>
      </w:r>
    </w:p>
    <w:p>
      <w:pPr>
        <w:pStyle w:val="Normal"/>
        <w:spacing w:lineRule="exact" w:line="560"/>
        <w:ind w:firstLineChars="200" w:startChars="0" w:start="0" w:endChars="0" w:end="0"/>
        <w:rPr>
          <w:rFonts w:ascii="黑体" w:hAnsi="黑体" w:eastAsia="黑体"/>
          <w:bCs/>
          <w:sz w:val="32"/>
          <w:szCs w:val="32"/>
        </w:rPr>
      </w:pPr>
      <w:r>
        <w:rPr>
          <w:rFonts w:eastAsia="黑体" w:ascii="黑体" w:hAnsi="黑体"/>
          <w:bCs/>
          <w:sz w:val="32"/>
          <w:szCs w:val="32"/>
        </w:rPr>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hint="eastAsia" w:eastAsia="黑体"/>
          <w:sz w:val="32"/>
          <w:szCs w:val="32"/>
        </w:rPr>
        <w:t>第五条</w:t>
      </w:r>
      <w:r>
        <w:rPr>
          <w:rFonts w:ascii="仿宋_GB2312" w:hAnsi="仿宋_GB2312" w:hint="eastAsia" w:eastAsia="仿宋_GB2312"/>
          <w:sz w:val="32"/>
          <w:szCs w:val="32"/>
        </w:rPr>
        <w:t>　</w:t>
      </w:r>
      <w:r>
        <w:rPr>
          <w:rFonts w:ascii="仿宋_GB2312" w:hAnsi="仿宋_GB2312" w:cs="仿宋" w:hint="eastAsia" w:eastAsia="仿宋_GB2312"/>
          <w:sz w:val="32"/>
          <w:szCs w:val="32"/>
        </w:rPr>
        <w:t>市人民政府应当整合公共资源，建立金融机构发展壮大、引进集聚和创新的激励机制，支持总部在深圳的金融机构加快发展，形成以具有国际竞争力的大型金融机构为核心，以中小型金融机构、专业服务机构和配套服务企业为基础的金融市场主体格局。</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第六条　</w:t>
      </w:r>
      <w:r>
        <w:rPr>
          <w:rFonts w:ascii="仿宋_GB2312" w:hAnsi="仿宋_GB2312" w:cs="仿宋" w:hint="eastAsia" w:eastAsia="仿宋_GB2312"/>
          <w:sz w:val="32"/>
          <w:szCs w:val="32"/>
        </w:rPr>
        <w:t>市人民政府应当采取下列措施支持深圳资本市场改革发展：</w:t>
      </w:r>
    </w:p>
    <w:p>
      <w:pPr>
        <w:pStyle w:val="Normal"/>
        <w:spacing w:lineRule="exact" w:line="560"/>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（一）支持深圳证券交易所（以下简称深交所）构建由主板、中小企业板、创业板</w:t>
      </w:r>
      <w:r>
        <w:rPr>
          <w:rFonts w:ascii="黑体" w:hAnsi="黑体" w:cs="黑体" w:hint="eastAsia" w:eastAsia="仿宋_GB2312"/>
          <w:sz w:val="32"/>
          <w:szCs w:val="32"/>
        </w:rPr>
        <w:t>等</w:t>
      </w:r>
      <w:r>
        <w:rPr>
          <w:rFonts w:ascii="仿宋" w:hAnsi="仿宋" w:cs="仿宋" w:hint="eastAsia" w:eastAsia="仿宋_GB2312"/>
          <w:sz w:val="32"/>
          <w:szCs w:val="32"/>
        </w:rPr>
        <w:t>组成的多层次资本市场；</w:t>
      </w:r>
    </w:p>
    <w:p>
      <w:pPr>
        <w:pStyle w:val="Normal"/>
        <w:spacing w:lineRule="exact" w:line="560"/>
        <w:ind w:firstLineChars="200" w:startChars="0" w:start="0" w:endChars="0" w:end="0"/>
        <w:rPr>
          <w:rFonts w:ascii="黑体" w:hAnsi="黑体" w:eastAsia="仿宋_GB2312" w:cs="黑体"/>
          <w:sz w:val="32"/>
          <w:szCs w:val="32"/>
        </w:rPr>
      </w:pPr>
      <w:r>
        <w:rPr>
          <w:rFonts w:ascii="仿宋_GB2312" w:hAnsi="仿宋_GB2312" w:cs="仿宋" w:hint="eastAsia" w:eastAsia="仿宋_GB2312"/>
          <w:sz w:val="32"/>
          <w:szCs w:val="32"/>
        </w:rPr>
        <w:t>（二）</w:t>
      </w:r>
      <w:r>
        <w:rPr>
          <w:rFonts w:ascii="黑体" w:hAnsi="黑体" w:cs="黑体" w:hint="eastAsia" w:eastAsia="仿宋_GB2312"/>
          <w:sz w:val="32"/>
          <w:szCs w:val="32"/>
        </w:rPr>
        <w:t>支持金融衍生产品市场发展，探索发行市政债，推进资产证券化；</w:t>
      </w:r>
    </w:p>
    <w:p>
      <w:pPr>
        <w:pStyle w:val="Normal"/>
        <w:spacing w:lineRule="exact" w:line="560"/>
        <w:ind w:firstLineChars="200" w:startChars="0" w:start="0" w:endChars="0" w:end="0"/>
        <w:rPr>
          <w:rFonts w:ascii="黑体" w:hAnsi="黑体" w:eastAsia="仿宋_GB2312" w:cs="黑体"/>
          <w:sz w:val="32"/>
          <w:szCs w:val="32"/>
        </w:rPr>
      </w:pPr>
      <w:r>
        <w:rPr>
          <w:rFonts w:ascii="仿宋_GB2312" w:hAnsi="仿宋_GB2312" w:cs="仿宋" w:hint="eastAsia" w:eastAsia="仿宋_GB2312"/>
          <w:sz w:val="32"/>
          <w:szCs w:val="32"/>
        </w:rPr>
        <w:t>（三）</w:t>
      </w:r>
      <w:r>
        <w:rPr>
          <w:rFonts w:ascii="黑体" w:hAnsi="黑体" w:cs="黑体" w:hint="eastAsia" w:eastAsia="仿宋_GB2312"/>
          <w:sz w:val="32"/>
          <w:szCs w:val="32"/>
        </w:rPr>
        <w:t>利用深交所交易平台，整合、规范本市产权交易市场；</w:t>
      </w:r>
    </w:p>
    <w:p>
      <w:pPr>
        <w:pStyle w:val="Normal"/>
        <w:spacing w:lineRule="exact" w:line="560"/>
        <w:ind w:firstLineChars="200" w:startChars="0" w:start="0" w:endChars="0" w:end="0"/>
        <w:rPr>
          <w:rFonts w:ascii="仿宋_GB2312" w:hAnsi="仿宋_GB2312" w:eastAsia="仿宋_GB2312" w:cs="仿宋" w:hint="eastAsia"/>
          <w:i/>
          <w:sz w:val="32"/>
          <w:szCs w:val="32"/>
          <w:u w:val="single"/>
        </w:rPr>
      </w:pPr>
      <w:r>
        <w:rPr>
          <w:rFonts w:ascii="黑体" w:hAnsi="黑体" w:cs="黑体" w:hint="eastAsia" w:eastAsia="仿宋_GB2312"/>
          <w:sz w:val="32"/>
          <w:szCs w:val="32"/>
        </w:rPr>
        <w:t>（四）</w:t>
      </w:r>
      <w:r>
        <w:rPr>
          <w:rFonts w:ascii="仿宋" w:hAnsi="仿宋" w:cs="仿宋" w:hint="eastAsia" w:eastAsia="仿宋_GB2312"/>
          <w:sz w:val="32"/>
          <w:szCs w:val="32"/>
        </w:rPr>
        <w:t>统筹经营性国有资产资源、上市公司壳资源和优质企业资源</w:t>
      </w:r>
      <w:r>
        <w:rPr>
          <w:rFonts w:ascii="黑体" w:hAnsi="黑体" w:cs="黑体" w:hint="eastAsia" w:eastAsia="仿宋_GB2312"/>
          <w:sz w:val="32"/>
          <w:szCs w:val="32"/>
        </w:rPr>
        <w:t>；</w:t>
      </w:r>
    </w:p>
    <w:p>
      <w:pPr>
        <w:pStyle w:val="Normal"/>
        <w:spacing w:lineRule="exact" w:line="560"/>
        <w:ind w:firstLineChars="200" w:startChars="0" w:start="0" w:endChars="0" w:end="0"/>
        <w:rPr>
          <w:rFonts w:ascii="仿宋" w:hAnsi="仿宋" w:eastAsia="仿宋_GB2312" w:cs="仿宋"/>
          <w:sz w:val="32"/>
          <w:szCs w:val="32"/>
        </w:rPr>
      </w:pPr>
      <w:r>
        <w:rPr>
          <w:rFonts w:ascii="黑体" w:hAnsi="黑体" w:cs="黑体" w:hint="eastAsia" w:eastAsia="仿宋_GB2312"/>
          <w:sz w:val="32"/>
          <w:szCs w:val="32"/>
        </w:rPr>
        <w:t>（五）支持创业投资和私募股权投资基金发展，完善中小企业融资和担保体系；</w:t>
      </w:r>
    </w:p>
    <w:p>
      <w:pPr>
        <w:pStyle w:val="Normal"/>
        <w:spacing w:lineRule="exact" w:line="560"/>
        <w:ind w:firstLineChars="200" w:startChars="0" w:start="0" w:endChars="0" w:end="0"/>
        <w:rPr>
          <w:rFonts w:ascii="黑体" w:hAnsi="黑体" w:eastAsia="仿宋_GB2312" w:cs="黑体"/>
          <w:sz w:val="32"/>
          <w:szCs w:val="32"/>
        </w:rPr>
      </w:pPr>
      <w:r>
        <w:rPr>
          <w:rFonts w:ascii="黑体" w:hAnsi="黑体" w:cs="黑体" w:hint="eastAsia" w:eastAsia="仿宋_GB2312"/>
          <w:sz w:val="32"/>
          <w:szCs w:val="32"/>
        </w:rPr>
        <w:t>（六）支持深交所在组织形式和交易管理制度等方面改制改革</w:t>
      </w:r>
      <w:r>
        <w:rPr>
          <w:rFonts w:ascii="仿宋" w:hAnsi="仿宋" w:cs="仿宋" w:hint="eastAsia" w:eastAsia="仿宋_GB2312"/>
          <w:sz w:val="32"/>
          <w:szCs w:val="32"/>
        </w:rPr>
        <w:t>；</w:t>
      </w:r>
    </w:p>
    <w:p>
      <w:pPr>
        <w:pStyle w:val="3"/>
        <w:spacing w:lineRule="exact" w:line="560"/>
        <w:rPr>
          <w:rFonts w:cs="仿宋"/>
          <w:szCs w:val="32"/>
        </w:rPr>
      </w:pPr>
      <w:r>
        <w:rPr>
          <w:rFonts w:ascii="黑体" w:hAnsi="黑体" w:cs="黑体"/>
          <w:szCs w:val="32"/>
        </w:rPr>
        <w:t>（七）</w:t>
      </w:r>
      <w:r>
        <w:rPr>
          <w:rFonts w:cs="仿宋"/>
          <w:szCs w:val="32"/>
        </w:rPr>
        <w:t>推动深圳资本市场与境外资本市场合作，吸引境外企业、境外上市产品到深圳上市或者再上市，为深港构建联通境内外的统一资本市场创造条件。</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第七条</w:t>
      </w:r>
      <w:r>
        <w:rPr>
          <w:rFonts w:ascii="仿宋_GB2312" w:hAnsi="仿宋_GB2312" w:cs="仿宋" w:hint="eastAsia" w:eastAsia="仿宋_GB2312"/>
          <w:sz w:val="32"/>
          <w:szCs w:val="32"/>
        </w:rPr>
        <w:t>　市人民政府应当研究建立科学评价体系，对深圳金融机构的发展潜力和经营风险等进行</w:t>
      </w:r>
      <w:r>
        <w:rPr>
          <w:rFonts w:ascii="黑体" w:hAnsi="黑体" w:cs="黑体" w:hint="eastAsia" w:eastAsia="仿宋_GB2312"/>
          <w:sz w:val="32"/>
          <w:szCs w:val="32"/>
        </w:rPr>
        <w:t>评价</w:t>
      </w:r>
      <w:r>
        <w:rPr>
          <w:rFonts w:ascii="仿宋" w:hAnsi="仿宋" w:cs="仿宋" w:hint="eastAsia" w:eastAsia="仿宋_GB2312"/>
          <w:sz w:val="32"/>
          <w:szCs w:val="32"/>
        </w:rPr>
        <w:t>，</w:t>
      </w:r>
      <w:r>
        <w:rPr>
          <w:rFonts w:ascii="仿宋_GB2312" w:hAnsi="仿宋_GB2312" w:cs="仿宋" w:hint="eastAsia" w:eastAsia="仿宋_GB2312"/>
          <w:sz w:val="32"/>
          <w:szCs w:val="32"/>
        </w:rPr>
        <w:t>以此作为给予政策优惠的基础。</w:t>
      </w:r>
    </w:p>
    <w:p>
      <w:pPr>
        <w:pStyle w:val="Normal"/>
        <w:spacing w:lineRule="exact" w:line="560"/>
        <w:ind w:firstLineChars="200" w:startChars="0" w:start="0" w:endChars="0" w:end="0"/>
        <w:rPr>
          <w:rFonts w:ascii="仿宋" w:hAnsi="仿宋" w:eastAsia="仿宋_GB2312" w:cs="仿宋"/>
          <w:i/>
          <w:sz w:val="32"/>
          <w:szCs w:val="32"/>
          <w:u w:val="single"/>
        </w:rPr>
      </w:pPr>
      <w:r>
        <w:rPr>
          <w:rFonts w:ascii="仿宋_GB2312" w:hAnsi="仿宋_GB2312" w:cs="仿宋" w:hint="eastAsia" w:eastAsia="仿宋_GB2312"/>
          <w:color w:val="000000"/>
          <w:sz w:val="32"/>
          <w:szCs w:val="32"/>
        </w:rPr>
        <w:t>市人民政府</w:t>
      </w:r>
      <w:r>
        <w:rPr>
          <w:rFonts w:ascii="黑体" w:hAnsi="黑体" w:cs="黑体" w:hint="eastAsia" w:eastAsia="仿宋_GB2312"/>
          <w:color w:val="000000"/>
          <w:sz w:val="32"/>
          <w:szCs w:val="32"/>
        </w:rPr>
        <w:t>及其相关部门</w:t>
      </w:r>
      <w:r>
        <w:rPr>
          <w:rFonts w:ascii="仿宋_GB2312" w:hAnsi="仿宋_GB2312" w:cs="仿宋" w:hint="eastAsia" w:eastAsia="仿宋_GB2312"/>
          <w:color w:val="000000"/>
          <w:sz w:val="32"/>
          <w:szCs w:val="32"/>
        </w:rPr>
        <w:t>应当为金融机构提供优质高效的行政服务和社会公共服务</w:t>
      </w:r>
      <w:r>
        <w:rPr>
          <w:rFonts w:ascii="黑体" w:hAnsi="黑体" w:cs="黑体" w:hint="eastAsia" w:eastAsia="仿宋_GB2312"/>
          <w:color w:val="000000"/>
          <w:sz w:val="32"/>
          <w:szCs w:val="32"/>
        </w:rPr>
        <w:t>。</w:t>
      </w:r>
    </w:p>
    <w:p>
      <w:pPr>
        <w:pStyle w:val="3"/>
        <w:spacing w:lineRule="exact" w:line="560"/>
        <w:rPr>
          <w:rFonts w:cs="仿宋"/>
          <w:szCs w:val="32"/>
        </w:rPr>
      </w:pPr>
      <w:r>
        <w:rPr>
          <w:rFonts w:ascii="黑体" w:hAnsi="黑体" w:cs="黑体"/>
          <w:szCs w:val="32"/>
        </w:rPr>
        <w:t>支持总部</w:t>
      </w:r>
      <w:r>
        <w:rPr>
          <w:rFonts w:ascii="仿宋" w:hAnsi="仿宋" w:cs="仿宋"/>
          <w:szCs w:val="32"/>
        </w:rPr>
        <w:t>在深圳的金融机构参与政府组织的债券发行、银团贷款和国有资产重组</w:t>
      </w:r>
      <w:r>
        <w:rPr>
          <w:rFonts w:ascii="黑体" w:hAnsi="黑体" w:cs="黑体"/>
          <w:szCs w:val="32"/>
        </w:rPr>
        <w:t>。</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第八条　</w:t>
      </w:r>
      <w:r>
        <w:rPr>
          <w:rFonts w:ascii="仿宋_GB2312" w:hAnsi="仿宋_GB2312" w:cs="仿宋" w:hint="eastAsia" w:eastAsia="仿宋_GB2312"/>
          <w:sz w:val="32"/>
          <w:szCs w:val="32"/>
        </w:rPr>
        <w:t>市人民政府应当</w:t>
      </w:r>
      <w:r>
        <w:rPr>
          <w:rFonts w:ascii="黑体" w:hAnsi="黑体" w:cs="黑体" w:hint="eastAsia" w:eastAsia="仿宋_GB2312"/>
          <w:sz w:val="32"/>
          <w:szCs w:val="32"/>
        </w:rPr>
        <w:t>优化</w:t>
      </w:r>
      <w:r>
        <w:rPr>
          <w:rFonts w:ascii="仿宋_GB2312" w:hAnsi="仿宋_GB2312" w:cs="仿宋" w:hint="eastAsia" w:eastAsia="仿宋_GB2312"/>
          <w:sz w:val="32"/>
          <w:szCs w:val="32"/>
        </w:rPr>
        <w:t>金融环境，采取富有吸引力和竞争力的支持措施，引进各类金融机构在深圳开设总部和分支机构。</w:t>
      </w:r>
    </w:p>
    <w:p>
      <w:pPr>
        <w:pStyle w:val="Normal"/>
        <w:spacing w:lineRule="exact" w:line="560"/>
        <w:ind w:firstLineChars="200" w:startChars="0" w:start="0" w:endChars="0" w:end="0"/>
        <w:rPr>
          <w:rFonts w:ascii="仿宋" w:hAnsi="仿宋" w:eastAsia="仿宋_GB2312" w:cs="仿宋"/>
          <w:sz w:val="32"/>
          <w:szCs w:val="32"/>
        </w:rPr>
      </w:pPr>
      <w:r>
        <w:rPr>
          <w:rFonts w:ascii="仿宋_GB2312" w:hAnsi="仿宋_GB2312" w:cs="仿宋" w:hint="eastAsia" w:eastAsia="仿宋_GB2312"/>
          <w:sz w:val="32"/>
          <w:szCs w:val="32"/>
        </w:rPr>
        <w:t>市人民政府应当制定阶段性目标，形成银行、证券、保险、基金和期货等业务种类齐全的</w:t>
      </w:r>
      <w:r>
        <w:rPr>
          <w:rFonts w:ascii="仿宋_GB2312" w:hAnsi="仿宋_GB2312" w:cs="仿宋" w:hint="eastAsia" w:eastAsia="仿宋_GB2312"/>
          <w:color w:val="000000"/>
          <w:sz w:val="32"/>
          <w:szCs w:val="32"/>
        </w:rPr>
        <w:t>金融机构聚集区。</w:t>
      </w:r>
    </w:p>
    <w:p>
      <w:pPr>
        <w:pStyle w:val="Normal"/>
        <w:spacing w:lineRule="exact" w:line="560"/>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市人民政府对技术含量高的金融机构除给予现行相关金融优惠政策外，应当参照高新技术产业政策给予支持。</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第九条</w:t>
      </w:r>
      <w:r>
        <w:rPr>
          <w:rFonts w:ascii="黑体" w:hAnsi="黑体" w:cs="黑体" w:hint="eastAsia" w:eastAsia="仿宋_GB2312"/>
          <w:sz w:val="32"/>
          <w:szCs w:val="32"/>
        </w:rPr>
        <w:t>　</w:t>
      </w:r>
      <w:r>
        <w:rPr>
          <w:rFonts w:ascii="仿宋_GB2312" w:hAnsi="仿宋_GB2312" w:cs="仿宋" w:hint="eastAsia" w:eastAsia="仿宋_GB2312"/>
          <w:sz w:val="32"/>
          <w:szCs w:val="32"/>
        </w:rPr>
        <w:t>市人民政府应当对培育和创设新型金融机构给予支持、奖励和保护。鼓励培育和创设社区银行、艺术品银行、银行信贷资产交易中心、</w:t>
      </w:r>
      <w:r>
        <w:rPr>
          <w:rFonts w:ascii="黑体" w:hAnsi="黑体" w:cs="仿宋" w:hint="eastAsia" w:eastAsia="仿宋_GB2312"/>
          <w:bCs/>
          <w:sz w:val="32"/>
          <w:szCs w:val="32"/>
        </w:rPr>
        <w:t>养老金保险公司、责任保险公司、保险公司专属的保险代理公司、</w:t>
      </w:r>
      <w:r>
        <w:rPr>
          <w:rFonts w:ascii="仿宋_GB2312" w:hAnsi="仿宋_GB2312" w:cs="仿宋" w:hint="eastAsia" w:eastAsia="仿宋_GB2312"/>
          <w:sz w:val="32"/>
          <w:szCs w:val="32"/>
        </w:rPr>
        <w:t>保险资产管理公司、汽车金融公司、货币经纪公司等新型金融机构。</w:t>
      </w:r>
    </w:p>
    <w:p>
      <w:pPr>
        <w:pStyle w:val="Normal"/>
        <w:spacing w:lineRule="exact" w:line="560"/>
        <w:ind w:firstLineChars="200" w:startChars="0" w:start="0" w:endChars="0" w:end="0"/>
        <w:rPr>
          <w:rFonts w:ascii="仿宋" w:hAnsi="仿宋" w:eastAsia="仿宋_GB2312" w:cs="仿宋"/>
          <w:sz w:val="32"/>
          <w:szCs w:val="32"/>
        </w:rPr>
      </w:pPr>
      <w:r>
        <w:rPr>
          <w:rFonts w:ascii="黑体" w:hAnsi="黑体" w:cs="黑体" w:hint="eastAsia" w:eastAsia="黑体"/>
          <w:sz w:val="32"/>
          <w:szCs w:val="32"/>
        </w:rPr>
        <w:t>第十条　</w:t>
      </w:r>
      <w:r>
        <w:rPr>
          <w:rFonts w:ascii="仿宋" w:hAnsi="仿宋" w:cs="仿宋" w:hint="eastAsia" w:eastAsia="仿宋_GB2312"/>
          <w:sz w:val="32"/>
          <w:szCs w:val="32"/>
        </w:rPr>
        <w:t>深圳金融机构在境外开设分支机构的，市人民政府应当给予政策优惠和奖励。</w:t>
      </w:r>
    </w:p>
    <w:p>
      <w:pPr>
        <w:pStyle w:val="Normal"/>
        <w:numPr>
          <w:ilvl w:val="0"/>
          <w:numId w:val="0"/>
        </w:numPr>
        <w:spacing w:lineRule="exact" w:line="560"/>
        <w:jc w:val="center"/>
        <w:outlineLvl w:val="0"/>
        <w:rPr>
          <w:rFonts w:ascii="仿宋" w:hAnsi="仿宋" w:eastAsia="仿宋" w:cs="仿宋"/>
          <w:b/>
          <w:sz w:val="32"/>
          <w:szCs w:val="32"/>
        </w:rPr>
      </w:pPr>
      <w:r>
        <w:rPr>
          <w:rFonts w:eastAsia="仿宋" w:cs="仿宋" w:ascii="仿宋" w:hAnsi="仿宋"/>
          <w:b/>
          <w:sz w:val="32"/>
          <w:szCs w:val="32"/>
        </w:rPr>
      </w:r>
    </w:p>
    <w:p>
      <w:pPr>
        <w:pStyle w:val="Normal"/>
        <w:numPr>
          <w:ilvl w:val="0"/>
          <w:numId w:val="0"/>
        </w:numPr>
        <w:spacing w:lineRule="exact" w:line="560"/>
        <w:jc w:val="center"/>
        <w:outlineLvl w:val="0"/>
        <w:rPr>
          <w:rFonts w:ascii="黑体" w:hAnsi="黑体" w:eastAsia="黑体" w:cs="黑体"/>
          <w:bCs/>
          <w:sz w:val="32"/>
          <w:szCs w:val="32"/>
        </w:rPr>
      </w:pPr>
      <w:r>
        <w:rPr>
          <w:rFonts w:ascii="黑体" w:hAnsi="黑体" w:cs="黑体" w:hint="eastAsia" w:eastAsia="黑体"/>
          <w:bCs/>
          <w:sz w:val="32"/>
          <w:szCs w:val="32"/>
        </w:rPr>
        <w:t>第三章</w:t>
      </w:r>
      <w:r>
        <w:rPr>
          <w:rFonts w:ascii="黑体" w:hAnsi="黑体" w:cs="黑体" w:eastAsia="黑体"/>
          <w:bCs/>
          <w:sz w:val="32"/>
          <w:szCs w:val="32"/>
        </w:rPr>
        <w:t xml:space="preserve"> 金融人才</w:t>
      </w:r>
    </w:p>
    <w:p>
      <w:pPr>
        <w:pStyle w:val="Normal"/>
        <w:numPr>
          <w:ilvl w:val="0"/>
          <w:numId w:val="0"/>
        </w:numPr>
        <w:spacing w:lineRule="exact" w:line="560"/>
        <w:jc w:val="center"/>
        <w:outlineLvl w:val="0"/>
        <w:rPr>
          <w:rFonts w:ascii="仿宋" w:hAnsi="仿宋" w:eastAsia="仿宋" w:cs="仿宋"/>
          <w:bCs/>
          <w:sz w:val="32"/>
          <w:szCs w:val="32"/>
        </w:rPr>
      </w:pPr>
      <w:r>
        <w:rPr>
          <w:rFonts w:eastAsia="仿宋" w:cs="仿宋" w:ascii="仿宋" w:hAnsi="仿宋"/>
          <w:bCs/>
          <w:sz w:val="32"/>
          <w:szCs w:val="32"/>
        </w:rPr>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第十一条　</w:t>
      </w:r>
      <w:r>
        <w:rPr>
          <w:rFonts w:ascii="仿宋_GB2312" w:hAnsi="仿宋_GB2312" w:cs="仿宋" w:hint="eastAsia" w:eastAsia="仿宋_GB2312"/>
          <w:sz w:val="32"/>
          <w:szCs w:val="32"/>
        </w:rPr>
        <w:t>市人民政府应当建立金融人才队伍建设长效机制，制定金融人才政策，加强金融从业人才和金融教育人才的引进和培养工作，培育和引进金融家群体。</w:t>
      </w:r>
    </w:p>
    <w:p>
      <w:pPr>
        <w:pStyle w:val="Normal"/>
        <w:spacing w:lineRule="exact" w:line="560"/>
        <w:ind w:firstLineChars="200" w:startChars="0" w:start="0" w:endChars="0" w:end="0"/>
        <w:rPr>
          <w:rFonts w:ascii="仿宋" w:hAnsi="仿宋" w:eastAsia="仿宋" w:cs="仿宋"/>
          <w:sz w:val="32"/>
          <w:szCs w:val="32"/>
        </w:rPr>
      </w:pPr>
      <w:r>
        <w:rPr>
          <w:rFonts w:ascii="黑体" w:hAnsi="黑体" w:cs="黑体" w:hint="eastAsia" w:eastAsia="黑体"/>
          <w:sz w:val="32"/>
          <w:szCs w:val="32"/>
        </w:rPr>
        <w:t>第</w:t>
      </w:r>
      <w:r>
        <w:rPr>
          <w:rFonts w:ascii="黑体" w:hAnsi="黑体" w:cs="黑体" w:hint="eastAsia" w:eastAsia="黑体"/>
          <w:iCs/>
          <w:sz w:val="32"/>
          <w:szCs w:val="32"/>
        </w:rPr>
        <w:t>十二条　</w:t>
      </w:r>
      <w:r>
        <w:rPr>
          <w:rFonts w:ascii="仿宋" w:hAnsi="仿宋" w:cs="仿宋" w:hint="eastAsia" w:eastAsia="仿宋_GB2312"/>
          <w:sz w:val="32"/>
          <w:szCs w:val="32"/>
        </w:rPr>
        <w:t>鼓励境内外金融专业人才来深圳发展，符合金融人才引进政策的，由市人民政府给予相应的政策优惠。</w:t>
      </w:r>
    </w:p>
    <w:p>
      <w:pPr>
        <w:pStyle w:val="Normal"/>
        <w:spacing w:lineRule="exact" w:line="560"/>
        <w:ind w:firstLineChars="200" w:startChars="0" w:start="0" w:endChars="0" w:end="0"/>
        <w:rPr>
          <w:rFonts w:ascii="仿宋" w:hAnsi="仿宋" w:eastAsia="仿宋_GB2312" w:cs="仿宋"/>
          <w:sz w:val="32"/>
          <w:szCs w:val="32"/>
        </w:rPr>
      </w:pPr>
      <w:r>
        <w:rPr>
          <w:rFonts w:ascii="黑体" w:hAnsi="黑体" w:cs="黑体" w:hint="eastAsia" w:eastAsia="黑体"/>
          <w:sz w:val="32"/>
          <w:szCs w:val="32"/>
        </w:rPr>
        <w:t>第十三条　</w:t>
      </w:r>
      <w:r>
        <w:rPr>
          <w:rFonts w:ascii="仿宋" w:hAnsi="仿宋" w:cs="仿宋" w:hint="eastAsia" w:eastAsia="仿宋_GB2312"/>
          <w:sz w:val="32"/>
          <w:szCs w:val="32"/>
        </w:rPr>
        <w:t>市人民政府应当依据金融业发展状况和规划，对金融人才需求进行专项调查，对关键紧缺人才由市人力资源保障部门与市政府金融工作部门制定有</w:t>
      </w:r>
      <w:r>
        <w:rPr>
          <w:rFonts w:ascii="仿宋" w:hAnsi="仿宋" w:cs="仿宋" w:hint="eastAsia" w:eastAsia="仿宋_GB2312"/>
          <w:sz w:val="32"/>
          <w:szCs w:val="32"/>
        </w:rPr>
        <w:t>针对性的引进</w:t>
      </w:r>
      <w:r>
        <w:rPr>
          <w:rFonts w:ascii="仿宋" w:hAnsi="仿宋" w:cs="仿宋" w:hint="eastAsia" w:eastAsia="仿宋_GB2312"/>
          <w:sz w:val="32"/>
          <w:szCs w:val="32"/>
        </w:rPr>
        <w:t>及在职培训计划。实行紧缺人才证书管理，对关键紧缺人才给予特殊政策优惠。</w:t>
      </w:r>
    </w:p>
    <w:p>
      <w:pPr>
        <w:pStyle w:val="Normal"/>
        <w:spacing w:lineRule="exact" w:line="560"/>
        <w:ind w:firstLineChars="200" w:startChars="0" w:start="0" w:endChars="0" w:end="0"/>
        <w:rPr>
          <w:rFonts w:ascii="黑体" w:hAnsi="黑体" w:eastAsia="仿宋_GB2312" w:cs="黑体"/>
          <w:sz w:val="32"/>
          <w:szCs w:val="32"/>
        </w:rPr>
      </w:pPr>
      <w:r>
        <w:rPr>
          <w:rFonts w:ascii="黑体" w:hAnsi="黑体" w:cs="黑体" w:hint="eastAsia" w:eastAsia="黑体"/>
          <w:sz w:val="32"/>
          <w:szCs w:val="32"/>
        </w:rPr>
        <w:t>第十四条　</w:t>
      </w:r>
      <w:r>
        <w:rPr>
          <w:rFonts w:ascii="黑体" w:hAnsi="黑体" w:cs="黑体" w:hint="eastAsia" w:eastAsia="仿宋_GB2312"/>
          <w:sz w:val="32"/>
          <w:szCs w:val="32"/>
        </w:rPr>
        <w:t>市人民政府支持中央驻深圳金融监管机构（以下简称监管机构）、</w:t>
      </w:r>
      <w:r>
        <w:rPr>
          <w:rFonts w:ascii="仿宋" w:hAnsi="仿宋" w:cs="仿宋" w:hint="eastAsia" w:eastAsia="仿宋_GB2312"/>
          <w:sz w:val="32"/>
          <w:szCs w:val="32"/>
        </w:rPr>
        <w:t>高等院校、研究机构在深圳设立金融研究、教育和培训机构</w:t>
      </w:r>
      <w:r>
        <w:rPr>
          <w:rFonts w:ascii="黑体" w:hAnsi="黑体" w:cs="黑体" w:hint="eastAsia" w:eastAsia="仿宋_GB2312"/>
          <w:sz w:val="32"/>
          <w:szCs w:val="32"/>
        </w:rPr>
        <w:t>，</w:t>
      </w:r>
      <w:r>
        <w:rPr>
          <w:rFonts w:ascii="仿宋" w:hAnsi="仿宋" w:cs="仿宋" w:hint="eastAsia" w:eastAsia="仿宋_GB2312"/>
          <w:sz w:val="32"/>
          <w:szCs w:val="32"/>
        </w:rPr>
        <w:t>引进境外金融专业培训机构，</w:t>
      </w:r>
      <w:r>
        <w:rPr>
          <w:rFonts w:ascii="黑体" w:hAnsi="黑体" w:cs="黑体" w:hint="eastAsia" w:eastAsia="仿宋_GB2312"/>
          <w:sz w:val="32"/>
          <w:szCs w:val="32"/>
        </w:rPr>
        <w:t>培养金融专才和金融复合型人才。</w:t>
      </w:r>
    </w:p>
    <w:p>
      <w:pPr>
        <w:pStyle w:val="Normal"/>
        <w:spacing w:lineRule="exact" w:line="560"/>
        <w:ind w:firstLineChars="200" w:startChars="0" w:start="0" w:endChars="0" w:end="0"/>
        <w:rPr>
          <w:rFonts w:ascii="仿宋" w:hAnsi="仿宋" w:eastAsia="仿宋" w:cs="仿宋"/>
          <w:sz w:val="32"/>
          <w:szCs w:val="32"/>
        </w:rPr>
      </w:pPr>
      <w:r>
        <w:rPr>
          <w:rFonts w:ascii="黑体" w:hAnsi="黑体" w:cs="黑体" w:hint="eastAsia" w:eastAsia="黑体"/>
          <w:sz w:val="32"/>
          <w:szCs w:val="32"/>
        </w:rPr>
        <w:t>第十五条</w:t>
      </w:r>
      <w:r>
        <w:rPr>
          <w:rFonts w:ascii="黑体" w:hAnsi="黑体" w:cs="黑体" w:hint="eastAsia" w:eastAsia="仿宋_GB2312"/>
          <w:sz w:val="32"/>
          <w:szCs w:val="32"/>
        </w:rPr>
        <w:t>　</w:t>
      </w:r>
      <w:r>
        <w:rPr>
          <w:rFonts w:ascii="仿宋" w:hAnsi="仿宋" w:cs="仿宋" w:hint="eastAsia" w:eastAsia="仿宋_GB2312"/>
          <w:sz w:val="32"/>
          <w:szCs w:val="32"/>
        </w:rPr>
        <w:t>推动金融人才资格认证，引进国际通行的金融人才资格认证体系。支持金融从业人员参与国际通行的职业资格认证考试</w:t>
      </w:r>
      <w:r>
        <w:rPr>
          <w:rFonts w:ascii="仿宋_GB2312" w:hAnsi="仿宋_GB2312" w:cs="仿宋" w:hint="eastAsia" w:eastAsia="仿宋_GB2312"/>
          <w:sz w:val="32"/>
          <w:szCs w:val="32"/>
        </w:rPr>
        <w:t>。</w:t>
      </w:r>
    </w:p>
    <w:p>
      <w:pPr>
        <w:pStyle w:val="Normal"/>
        <w:spacing w:lineRule="exact" w:line="560"/>
        <w:ind w:firstLineChars="200" w:startChars="0" w:start="0" w:endChars="0" w:end="0"/>
        <w:rPr>
          <w:rFonts w:ascii="仿宋" w:hAnsi="仿宋" w:eastAsia="仿宋_GB2312" w:cs="仿宋"/>
          <w:sz w:val="32"/>
          <w:szCs w:val="32"/>
        </w:rPr>
      </w:pPr>
      <w:r>
        <w:rPr>
          <w:rFonts w:ascii="黑体" w:hAnsi="黑体" w:cs="黑体" w:hint="eastAsia" w:eastAsia="黑体"/>
          <w:sz w:val="32"/>
          <w:szCs w:val="32"/>
        </w:rPr>
        <w:t>第十六条</w:t>
      </w:r>
      <w:r>
        <w:rPr>
          <w:rFonts w:ascii="仿宋_GB2312" w:hAnsi="仿宋_GB2312" w:cs="黑体" w:hint="eastAsia" w:eastAsia="仿宋_GB2312"/>
          <w:sz w:val="32"/>
          <w:szCs w:val="32"/>
        </w:rPr>
        <w:t>　</w:t>
      </w:r>
      <w:r>
        <w:rPr>
          <w:rFonts w:ascii="黑体" w:hAnsi="黑体" w:cs="黑体" w:hint="eastAsia" w:eastAsia="仿宋_GB2312"/>
          <w:sz w:val="32"/>
          <w:szCs w:val="32"/>
        </w:rPr>
        <w:t>推广完善金融机构管理层期权持股等激励制度，</w:t>
      </w:r>
      <w:r>
        <w:rPr>
          <w:rFonts w:ascii="仿宋_GB2312" w:hAnsi="仿宋_GB2312" w:cs="仿宋" w:hint="eastAsia" w:eastAsia="仿宋_GB2312"/>
          <w:sz w:val="32"/>
          <w:szCs w:val="32"/>
        </w:rPr>
        <w:t>建立金融机构年金制度。</w:t>
      </w:r>
    </w:p>
    <w:p>
      <w:pPr>
        <w:pStyle w:val="Normal"/>
        <w:numPr>
          <w:ilvl w:val="0"/>
          <w:numId w:val="0"/>
        </w:numPr>
        <w:tabs>
          <w:tab w:val="clear" w:pos="420"/>
          <w:tab w:val="left" w:pos="7425" w:leader="none"/>
        </w:tabs>
        <w:spacing w:lineRule="exact" w:line="560"/>
        <w:jc w:val="start"/>
        <w:outlineLvl w:val="0"/>
        <w:rPr>
          <w:rFonts w:ascii="黑体" w:hAnsi="黑体" w:eastAsia="仿宋_GB2312" w:cs="黑体"/>
          <w:bCs/>
          <w:sz w:val="32"/>
          <w:szCs w:val="32"/>
        </w:rPr>
      </w:pPr>
      <w:r>
        <w:rPr>
          <w:rFonts w:eastAsia="仿宋_GB2312" w:cs="黑体" w:ascii="黑体" w:hAnsi="黑体"/>
          <w:bCs/>
          <w:sz w:val="32"/>
          <w:szCs w:val="32"/>
        </w:rPr>
        <w:tab/>
      </w:r>
    </w:p>
    <w:p>
      <w:pPr>
        <w:pStyle w:val="Normal"/>
        <w:numPr>
          <w:ilvl w:val="0"/>
          <w:numId w:val="0"/>
        </w:numPr>
        <w:spacing w:lineRule="exact" w:line="560"/>
        <w:jc w:val="center"/>
        <w:outlineLvl w:val="0"/>
        <w:rPr>
          <w:rFonts w:ascii="黑体" w:hAnsi="黑体" w:eastAsia="黑体" w:cs="黑体"/>
          <w:sz w:val="32"/>
          <w:szCs w:val="32"/>
        </w:rPr>
      </w:pPr>
      <w:r>
        <w:rPr>
          <w:rFonts w:ascii="黑体" w:hAnsi="黑体" w:cs="黑体" w:hint="eastAsia" w:eastAsia="黑体"/>
          <w:sz w:val="32"/>
          <w:szCs w:val="32"/>
        </w:rPr>
        <w:t>第四章</w:t>
      </w:r>
      <w:r>
        <w:rPr>
          <w:rFonts w:ascii="黑体" w:hAnsi="黑体" w:cs="黑体" w:eastAsia="黑体"/>
          <w:sz w:val="32"/>
          <w:szCs w:val="32"/>
        </w:rPr>
        <w:t xml:space="preserve"> 金融创新</w:t>
      </w:r>
    </w:p>
    <w:p>
      <w:pPr>
        <w:pStyle w:val="Normal"/>
        <w:numPr>
          <w:ilvl w:val="0"/>
          <w:numId w:val="0"/>
        </w:numPr>
        <w:spacing w:lineRule="exact" w:line="560"/>
        <w:jc w:val="center"/>
        <w:outlineLvl w:val="0"/>
        <w:rPr>
          <w:rFonts w:ascii="黑体" w:hAnsi="黑体" w:eastAsia="黑体" w:cs="黑体"/>
          <w:b/>
          <w:sz w:val="32"/>
          <w:szCs w:val="32"/>
        </w:rPr>
      </w:pPr>
      <w:r>
        <w:rPr>
          <w:rFonts w:eastAsia="黑体" w:cs="黑体" w:ascii="黑体" w:hAnsi="黑体"/>
          <w:b/>
          <w:sz w:val="32"/>
          <w:szCs w:val="32"/>
        </w:rPr>
        <w:t xml:space="preserve"> </w:t>
      </w:r>
    </w:p>
    <w:p>
      <w:pPr>
        <w:pStyle w:val="Normal"/>
        <w:numPr>
          <w:ilvl w:val="0"/>
          <w:numId w:val="0"/>
        </w:numPr>
        <w:spacing w:lineRule="exact" w:line="560"/>
        <w:ind w:firstLine="690" w:end="0"/>
        <w:outlineLvl w:val="0"/>
        <w:rPr>
          <w:rFonts w:eastAsia="仿宋_GB2312"/>
          <w:sz w:val="32"/>
        </w:rPr>
      </w:pPr>
      <w:r>
        <w:rPr>
          <w:rFonts w:hint="eastAsia" w:eastAsia="黑体"/>
          <w:sz w:val="32"/>
          <w:szCs w:val="32"/>
        </w:rPr>
        <w:t>第十七条　</w:t>
      </w:r>
      <w:r>
        <w:rPr>
          <w:rFonts w:ascii="仿宋" w:hAnsi="仿宋" w:cs="仿宋" w:hint="eastAsia" w:eastAsia="仿宋_GB2312"/>
          <w:sz w:val="32"/>
          <w:szCs w:val="32"/>
        </w:rPr>
        <w:t>市人民政府应当支持</w:t>
      </w:r>
      <w:r>
        <w:rPr>
          <w:rFonts w:eastAsia="仿宋_GB2312"/>
          <w:sz w:val="32"/>
        </w:rPr>
        <w:t>监管机构及金融机构在金融管理体制、金融组织和运行机制等方面</w:t>
      </w:r>
      <w:r>
        <w:rPr>
          <w:rFonts w:hint="eastAsia" w:eastAsia="仿宋_GB2312"/>
          <w:sz w:val="32"/>
        </w:rPr>
        <w:t>进行</w:t>
      </w:r>
      <w:r>
        <w:rPr>
          <w:rFonts w:eastAsia="仿宋_GB2312"/>
          <w:sz w:val="32"/>
        </w:rPr>
        <w:t>改革探索。</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仿宋_GB2312"/>
          <w:sz w:val="32"/>
          <w:szCs w:val="32"/>
        </w:rPr>
        <w:t>市人民政府应当完善金融创新奖评选机制和激励机制，</w:t>
      </w:r>
      <w:r>
        <w:rPr>
          <w:rFonts w:ascii="仿宋_GB2312" w:hAnsi="仿宋_GB2312" w:cs="仿宋" w:hint="eastAsia" w:eastAsia="仿宋_GB2312"/>
          <w:sz w:val="32"/>
          <w:szCs w:val="32"/>
        </w:rPr>
        <w:t>鼓励金融机构</w:t>
      </w:r>
      <w:r>
        <w:rPr>
          <w:rFonts w:ascii="黑体" w:hAnsi="黑体" w:cs="黑体" w:hint="eastAsia" w:eastAsia="仿宋_GB2312"/>
          <w:sz w:val="32"/>
          <w:szCs w:val="32"/>
        </w:rPr>
        <w:t>创新</w:t>
      </w:r>
      <w:r>
        <w:rPr>
          <w:rFonts w:ascii="仿宋_GB2312" w:hAnsi="仿宋_GB2312" w:cs="仿宋" w:hint="eastAsia" w:eastAsia="仿宋_GB2312"/>
          <w:sz w:val="32"/>
          <w:szCs w:val="32"/>
        </w:rPr>
        <w:t>金融产品、服务方式、管理制度以及金融技术。</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第十八条</w:t>
      </w:r>
      <w:r>
        <w:rPr>
          <w:rFonts w:ascii="黑体" w:hAnsi="黑体" w:cs="黑体" w:hint="eastAsia" w:eastAsia="仿宋_GB2312"/>
          <w:sz w:val="32"/>
          <w:szCs w:val="32"/>
        </w:rPr>
        <w:t>　</w:t>
      </w:r>
      <w:r>
        <w:rPr>
          <w:rFonts w:ascii="仿宋_GB2312" w:hAnsi="仿宋_GB2312" w:cs="仿宋" w:hint="eastAsia" w:eastAsia="仿宋_GB2312"/>
          <w:sz w:val="32"/>
          <w:szCs w:val="32"/>
        </w:rPr>
        <w:t>市人民政府应当支持监管机构进行金融监管机制、模式、方法和制度等方面的改革创新。</w:t>
      </w:r>
    </w:p>
    <w:p>
      <w:pPr>
        <w:pStyle w:val="Normal"/>
        <w:spacing w:lineRule="exact" w:line="560"/>
        <w:ind w:firstLineChars="200" w:startChars="0" w:start="0" w:endChars="0" w:end="0"/>
        <w:rPr>
          <w:rFonts w:ascii="仿宋" w:hAnsi="仿宋" w:eastAsia="仿宋_GB2312" w:cs="仿宋"/>
          <w:sz w:val="32"/>
          <w:szCs w:val="32"/>
        </w:rPr>
      </w:pPr>
      <w:r>
        <w:rPr>
          <w:rFonts w:ascii="黑体" w:hAnsi="黑体" w:cs="黑体" w:hint="eastAsia" w:eastAsia="黑体"/>
          <w:sz w:val="32"/>
          <w:szCs w:val="32"/>
        </w:rPr>
        <w:t>第十九条</w:t>
      </w:r>
      <w:r>
        <w:rPr>
          <w:rFonts w:ascii="黑体" w:hAnsi="黑体" w:cs="黑体" w:hint="eastAsia" w:eastAsia="仿宋_GB2312"/>
          <w:sz w:val="32"/>
          <w:szCs w:val="32"/>
        </w:rPr>
        <w:t>　</w:t>
      </w:r>
      <w:r>
        <w:rPr>
          <w:rFonts w:ascii="仿宋" w:hAnsi="仿宋" w:cs="仿宋" w:hint="eastAsia" w:eastAsia="仿宋_GB2312"/>
          <w:sz w:val="32"/>
          <w:szCs w:val="32"/>
        </w:rPr>
        <w:t>市人民政府应当制定相关政策，鼓励金融机构完善现代企业制度以及公司治理结构。</w:t>
      </w:r>
    </w:p>
    <w:p>
      <w:pPr>
        <w:pStyle w:val="Normal"/>
        <w:spacing w:lineRule="exact" w:line="560"/>
        <w:ind w:firstLineChars="200" w:startChars="0" w:start="0" w:endChars="0" w:end="0"/>
        <w:rPr>
          <w:rFonts w:ascii="仿宋_GB2312" w:hAnsi="仿宋_GB2312" w:eastAsia="仿宋_GB2312" w:cs="仿宋"/>
          <w:sz w:val="32"/>
          <w:szCs w:val="32"/>
        </w:rPr>
      </w:pPr>
      <w:r>
        <w:rPr>
          <w:rFonts w:ascii="仿宋" w:hAnsi="仿宋" w:cs="仿宋" w:hint="eastAsia" w:eastAsia="仿宋_GB2312"/>
          <w:sz w:val="32"/>
          <w:szCs w:val="32"/>
        </w:rPr>
        <w:t>鼓励金融机构以信息化手段优化业务流程，</w:t>
      </w:r>
      <w:r>
        <w:rPr>
          <w:rFonts w:ascii="黑体" w:hAnsi="黑体" w:cs="黑体" w:hint="eastAsia" w:eastAsia="仿宋_GB2312"/>
          <w:sz w:val="32"/>
          <w:szCs w:val="32"/>
        </w:rPr>
        <w:t>提高</w:t>
      </w:r>
      <w:r>
        <w:rPr>
          <w:rFonts w:ascii="仿宋_GB2312" w:hAnsi="仿宋_GB2312" w:cs="仿宋" w:hint="eastAsia" w:eastAsia="仿宋_GB2312"/>
          <w:sz w:val="32"/>
          <w:szCs w:val="32"/>
        </w:rPr>
        <w:t>跨地域分支机构管理和风险控制能力。</w:t>
      </w:r>
    </w:p>
    <w:p>
      <w:pPr>
        <w:pStyle w:val="3"/>
        <w:spacing w:lineRule="exact" w:line="560"/>
        <w:rPr>
          <w:rFonts w:ascii="仿宋" w:hAnsi="仿宋" w:cs="仿宋"/>
          <w:szCs w:val="32"/>
        </w:rPr>
      </w:pPr>
      <w:r>
        <w:rPr>
          <w:rFonts w:cs="仿宋"/>
          <w:szCs w:val="32"/>
        </w:rPr>
        <w:t>支持、帮助</w:t>
      </w:r>
      <w:r>
        <w:rPr>
          <w:rFonts w:ascii="黑体" w:hAnsi="黑体" w:cs="黑体"/>
          <w:szCs w:val="32"/>
        </w:rPr>
        <w:t>深圳</w:t>
      </w:r>
      <w:r>
        <w:rPr>
          <w:rFonts w:cs="仿宋"/>
          <w:szCs w:val="32"/>
        </w:rPr>
        <w:t>金融机构</w:t>
      </w:r>
      <w:r>
        <w:rPr>
          <w:rFonts w:ascii="黑体" w:hAnsi="黑体" w:cs="黑体"/>
          <w:szCs w:val="32"/>
        </w:rPr>
        <w:t>申请综合化经营试点，实现综合化发展。</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鼓励金融业深化行业分工，发展专业化的金融业配套服务。</w:t>
      </w:r>
    </w:p>
    <w:p>
      <w:pPr>
        <w:pStyle w:val="3"/>
        <w:spacing w:lineRule="exact" w:line="560"/>
        <w:rPr>
          <w:rFonts w:cs="仿宋"/>
          <w:szCs w:val="32"/>
        </w:rPr>
      </w:pPr>
      <w:r>
        <w:rPr>
          <w:rFonts w:cs="仿宋"/>
          <w:szCs w:val="32"/>
        </w:rPr>
        <w:t>鼓励金融机构进行股权期权激励，建立长效激励约束机制。</w:t>
      </w:r>
    </w:p>
    <w:p>
      <w:pPr>
        <w:pStyle w:val="3"/>
        <w:spacing w:lineRule="exact" w:line="560"/>
        <w:rPr>
          <w:rFonts w:ascii="黑体" w:hAnsi="黑体" w:cs="仿宋"/>
          <w:bCs/>
          <w:szCs w:val="32"/>
        </w:rPr>
      </w:pPr>
      <w:r>
        <w:rPr>
          <w:rFonts w:ascii="黑体" w:hAnsi="黑体" w:cs="仿宋" w:eastAsia="黑体"/>
          <w:bCs/>
          <w:szCs w:val="32"/>
        </w:rPr>
        <w:t>第二十条　</w:t>
      </w:r>
      <w:r>
        <w:rPr>
          <w:rFonts w:ascii="黑体" w:hAnsi="黑体" w:cs="仿宋"/>
          <w:bCs/>
          <w:szCs w:val="32"/>
        </w:rPr>
        <w:t>金融机构应当在内部控制、绩效考核和人力资源管理等方面进行机制创新。</w:t>
      </w:r>
    </w:p>
    <w:p>
      <w:pPr>
        <w:pStyle w:val="Normal"/>
        <w:spacing w:lineRule="exact" w:line="560"/>
        <w:ind w:firstLineChars="200" w:startChars="0" w:start="0" w:endChars="0" w:end="0"/>
        <w:rPr>
          <w:rFonts w:ascii="仿宋" w:hAnsi="仿宋" w:eastAsia="仿宋_GB2312" w:cs="宋体"/>
          <w:kern w:val="0"/>
          <w:sz w:val="32"/>
          <w:szCs w:val="32"/>
        </w:rPr>
      </w:pPr>
      <w:r>
        <w:rPr>
          <w:rFonts w:ascii="黑体" w:hAnsi="黑体" w:cs="黑体" w:hint="eastAsia" w:eastAsia="黑体"/>
          <w:sz w:val="32"/>
          <w:szCs w:val="32"/>
        </w:rPr>
        <w:t>第二十一条　</w:t>
      </w:r>
      <w:r>
        <w:rPr>
          <w:rFonts w:ascii="仿宋" w:hAnsi="仿宋" w:cs="仿宋" w:hint="eastAsia" w:eastAsia="仿宋_GB2312"/>
          <w:sz w:val="32"/>
          <w:szCs w:val="32"/>
        </w:rPr>
        <w:t>金融机构可以</w:t>
      </w:r>
      <w:r>
        <w:rPr>
          <w:rFonts w:ascii="仿宋" w:hAnsi="仿宋" w:cs="宋体" w:hint="eastAsia" w:eastAsia="仿宋_GB2312"/>
          <w:kern w:val="0"/>
          <w:sz w:val="32"/>
          <w:szCs w:val="32"/>
        </w:rPr>
        <w:t>根据市场需求，为客户提供细分化、个性化、定制化的创新金融产品和金融服务。</w:t>
      </w:r>
    </w:p>
    <w:p>
      <w:pPr>
        <w:pStyle w:val="3"/>
        <w:spacing w:lineRule="exact" w:line="560"/>
        <w:rPr>
          <w:rFonts w:ascii="仿宋" w:hAnsi="仿宋" w:cs="宋体"/>
          <w:kern w:val="0"/>
          <w:szCs w:val="32"/>
        </w:rPr>
      </w:pPr>
      <w:r>
        <w:rPr>
          <w:rFonts w:ascii="仿宋" w:hAnsi="仿宋" w:cs="仿宋"/>
          <w:szCs w:val="32"/>
        </w:rPr>
        <w:t>银行业可以提高中间业务收入比重，促进中间业务定价审批体制改革。</w:t>
      </w:r>
    </w:p>
    <w:p>
      <w:pPr>
        <w:pStyle w:val="Normal"/>
        <w:spacing w:lineRule="exact" w:line="560"/>
        <w:ind w:firstLineChars="200" w:startChars="0" w:start="0" w:endChars="0" w:end="0"/>
        <w:rPr>
          <w:rFonts w:ascii="仿宋" w:hAnsi="仿宋" w:eastAsia="仿宋" w:cs="宋体"/>
          <w:i/>
          <w:kern w:val="0"/>
          <w:sz w:val="32"/>
          <w:szCs w:val="32"/>
          <w:u w:val="single"/>
        </w:rPr>
      </w:pPr>
      <w:r>
        <w:rPr>
          <w:rFonts w:ascii="仿宋_GB2312" w:hAnsi="仿宋_GB2312" w:cs="宋体" w:hint="eastAsia" w:eastAsia="仿宋_GB2312"/>
          <w:kern w:val="0"/>
          <w:sz w:val="32"/>
          <w:szCs w:val="32"/>
        </w:rPr>
        <w:t>商业银行可以创新国际结算方式</w:t>
      </w:r>
      <w:r>
        <w:rPr>
          <w:rFonts w:ascii="仿宋_GB2312" w:hAnsi="仿宋_GB2312" w:cs="宋体" w:hint="eastAsia" w:eastAsia="仿宋_GB2312"/>
          <w:iCs/>
          <w:kern w:val="0"/>
          <w:sz w:val="32"/>
          <w:szCs w:val="32"/>
        </w:rPr>
        <w:t>。</w:t>
      </w:r>
    </w:p>
    <w:p>
      <w:pPr>
        <w:pStyle w:val="Normal"/>
        <w:spacing w:lineRule="exact" w:line="56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银行业可以积极发展小额商业信贷业务。</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第二十二条　</w:t>
      </w:r>
      <w:r>
        <w:rPr>
          <w:rFonts w:ascii="仿宋" w:hAnsi="仿宋" w:cs="仿宋" w:hint="eastAsia" w:eastAsia="仿宋_GB2312"/>
          <w:sz w:val="32"/>
          <w:szCs w:val="32"/>
        </w:rPr>
        <w:t>金融机构应当</w:t>
      </w:r>
      <w:r>
        <w:rPr>
          <w:rFonts w:ascii="黑体" w:hAnsi="黑体" w:cs="黑体" w:hint="eastAsia" w:eastAsia="仿宋_GB2312"/>
          <w:sz w:val="32"/>
          <w:szCs w:val="32"/>
        </w:rPr>
        <w:t>创新</w:t>
      </w:r>
      <w:r>
        <w:rPr>
          <w:rFonts w:ascii="仿宋_GB2312" w:hAnsi="仿宋_GB2312" w:cs="仿宋" w:hint="eastAsia" w:eastAsia="仿宋_GB2312"/>
          <w:sz w:val="32"/>
          <w:szCs w:val="32"/>
        </w:rPr>
        <w:t>各类金融产品，稳步发展利率类、汇率类、股票类、期货类、债券和资产证券化等金融衍生产品。</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第二十三条　</w:t>
      </w:r>
      <w:r>
        <w:rPr>
          <w:rFonts w:ascii="黑体" w:hAnsi="黑体" w:cs="黑体" w:hint="eastAsia" w:eastAsia="仿宋_GB2312"/>
          <w:sz w:val="32"/>
          <w:szCs w:val="32"/>
        </w:rPr>
        <w:t>市人民政府应当采取各种措施</w:t>
      </w:r>
      <w:r>
        <w:rPr>
          <w:rFonts w:ascii="仿宋_GB2312" w:hAnsi="仿宋_GB2312" w:cs="仿宋" w:hint="eastAsia" w:eastAsia="仿宋_GB2312"/>
          <w:sz w:val="32"/>
          <w:szCs w:val="32"/>
        </w:rPr>
        <w:t>支持中小企业在境内外资本市场上市和发行债券，</w:t>
      </w:r>
      <w:r>
        <w:rPr>
          <w:rFonts w:ascii="黑体" w:hAnsi="黑体" w:cs="黑体" w:hint="eastAsia" w:eastAsia="仿宋_GB2312"/>
          <w:sz w:val="32"/>
          <w:szCs w:val="32"/>
        </w:rPr>
        <w:t>鼓励符合条件的中小企业集合发债，提高直接融资比例，</w:t>
      </w:r>
      <w:r>
        <w:rPr>
          <w:rFonts w:ascii="仿宋_GB2312" w:hAnsi="仿宋_GB2312" w:cs="仿宋" w:hint="eastAsia" w:eastAsia="仿宋_GB2312"/>
          <w:sz w:val="32"/>
          <w:szCs w:val="32"/>
        </w:rPr>
        <w:t>完善创业投资机制。</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支持金融机构进行融资机制创新，完善间接融资体系，加大对创新型中小企业信贷支持力度。</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市人民政府应当建立财政贴息、担保、风险补偿基金等专项资金，建立规范的政策性中小企业担保投入和代偿机制。</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市人民政府应当对中小企业融资创新予以奖励。</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第二十四</w:t>
      </w:r>
      <w:r>
        <w:rPr>
          <w:rFonts w:ascii="仿宋" w:hAnsi="仿宋" w:cs="仿宋" w:hint="eastAsia" w:eastAsia="黑体"/>
          <w:sz w:val="32"/>
          <w:szCs w:val="32"/>
        </w:rPr>
        <w:t>条　</w:t>
      </w:r>
      <w:r>
        <w:rPr>
          <w:rFonts w:ascii="仿宋_GB2312" w:hAnsi="仿宋_GB2312" w:cs="仿宋" w:hint="eastAsia" w:eastAsia="仿宋_GB2312"/>
          <w:sz w:val="32"/>
          <w:szCs w:val="32"/>
        </w:rPr>
        <w:t>金融机构应当通过下列方式进行技术创新，提高金融监管、金融交易和金融服务效率</w:t>
      </w:r>
      <w:r>
        <w:rPr>
          <w:rFonts w:eastAsia="仿宋_GB2312" w:cs="仿宋"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
          <w:bCs/>
          <w:sz w:val="32"/>
          <w:szCs w:val="32"/>
        </w:rPr>
      </w:pPr>
      <w:r>
        <w:rPr>
          <w:rFonts w:ascii="仿宋_GB2312" w:hAnsi="仿宋_GB2312" w:cs="仿宋" w:hint="eastAsia" w:eastAsia="仿宋_GB2312"/>
          <w:iCs/>
          <w:sz w:val="32"/>
          <w:szCs w:val="32"/>
        </w:rPr>
        <w:t>（一）</w:t>
      </w:r>
      <w:r>
        <w:rPr>
          <w:rFonts w:ascii="仿宋_GB2312" w:hAnsi="仿宋_GB2312" w:cs="仿宋" w:hint="eastAsia" w:eastAsia="仿宋_GB2312"/>
          <w:sz w:val="32"/>
          <w:szCs w:val="32"/>
        </w:rPr>
        <w:t>发展</w:t>
      </w:r>
      <w:r>
        <w:rPr>
          <w:rFonts w:ascii="仿宋_GB2312" w:hAnsi="仿宋_GB2312" w:cs="仿宋" w:hint="eastAsia" w:eastAsia="仿宋_GB2312"/>
          <w:bCs/>
          <w:sz w:val="32"/>
          <w:szCs w:val="32"/>
        </w:rPr>
        <w:t>网上交易；</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bCs/>
          <w:sz w:val="32"/>
          <w:szCs w:val="32"/>
        </w:rPr>
        <w:t>（二）加快金融企业信息化建设</w:t>
      </w:r>
      <w:r>
        <w:rPr>
          <w:rFonts w:eastAsia="仿宋_GB2312" w:cs="仿宋" w:ascii="仿宋_GB2312" w:hAnsi="仿宋_GB2312"/>
          <w:bCs/>
          <w:sz w:val="32"/>
          <w:szCs w:val="32"/>
        </w:rPr>
        <w:t>;</w:t>
      </w:r>
    </w:p>
    <w:p>
      <w:pPr>
        <w:pStyle w:val="3"/>
        <w:spacing w:lineRule="exact" w:line="560"/>
        <w:rPr>
          <w:rFonts w:cs="仿宋"/>
          <w:szCs w:val="32"/>
        </w:rPr>
      </w:pPr>
      <w:r>
        <w:rPr>
          <w:rFonts w:cs="仿宋"/>
          <w:szCs w:val="32"/>
        </w:rPr>
        <w:t>（三）加快银行卡应用系统建设，扩大覆盖面，提高支付比例</w:t>
      </w:r>
      <w:r>
        <w:rPr>
          <w:rFonts w:cs="仿宋"/>
          <w:bCs/>
          <w:szCs w:val="32"/>
        </w:rPr>
        <w:t>和效率</w:t>
      </w:r>
      <w:r>
        <w:rPr>
          <w:rFonts w:cs="仿宋"/>
          <w:bCs/>
          <w:szCs w:val="32"/>
        </w:rPr>
        <w:t>;</w:t>
      </w:r>
    </w:p>
    <w:p>
      <w:pPr>
        <w:pStyle w:val="3"/>
        <w:spacing w:lineRule="exact" w:line="560"/>
        <w:rPr>
          <w:rFonts w:cs="仿宋"/>
          <w:szCs w:val="32"/>
        </w:rPr>
      </w:pPr>
      <w:r>
        <w:rPr>
          <w:rFonts w:cs="仿宋"/>
          <w:szCs w:val="32"/>
        </w:rPr>
        <w:t>（四）尽快形成统一的或者相对集中的清算中心、交割中心、备份中心和珠三角外币结算中心。</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第二十五条　</w:t>
      </w:r>
      <w:r>
        <w:rPr>
          <w:rFonts w:ascii="仿宋_GB2312" w:hAnsi="仿宋_GB2312" w:cs="仿宋" w:hint="eastAsia" w:eastAsia="仿宋_GB2312"/>
          <w:sz w:val="32"/>
          <w:szCs w:val="32"/>
        </w:rPr>
        <w:t>市人民政府应当支持银行业、证券业、保险业、信托业等进行金融服务创新。</w:t>
      </w:r>
    </w:p>
    <w:p>
      <w:pPr>
        <w:pStyle w:val="Normal"/>
        <w:spacing w:lineRule="exact" w:line="560"/>
        <w:ind w:firstLineChars="200" w:startChars="0" w:start="0" w:endChars="0" w:end="0"/>
        <w:rPr>
          <w:rFonts w:ascii="仿宋" w:hAnsi="仿宋" w:eastAsia="仿宋_GB2312" w:cs="仿宋"/>
          <w:sz w:val="32"/>
          <w:szCs w:val="32"/>
        </w:rPr>
      </w:pPr>
      <w:r>
        <w:rPr>
          <w:rFonts w:ascii="黑体" w:hAnsi="黑体" w:cs="黑体" w:hint="eastAsia" w:eastAsia="黑体"/>
          <w:sz w:val="32"/>
          <w:szCs w:val="32"/>
        </w:rPr>
        <w:t>第二十六条　</w:t>
      </w:r>
      <w:r>
        <w:rPr>
          <w:rFonts w:ascii="仿宋" w:hAnsi="仿宋" w:cs="仿宋" w:hint="eastAsia" w:eastAsia="仿宋_GB2312"/>
          <w:sz w:val="32"/>
          <w:szCs w:val="32"/>
        </w:rPr>
        <w:t>加快推进国家保险创新发展试验区建设，提升保险业服务经济社会发展的能力和水平。</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鼓励保险业发展保险、再保险和保险中介市场，扩大保险覆盖面，提高保险深度和保险密度。</w:t>
      </w:r>
    </w:p>
    <w:p>
      <w:pPr>
        <w:pStyle w:val="3"/>
        <w:spacing w:lineRule="exact" w:line="560"/>
        <w:rPr>
          <w:rFonts w:cs="仿宋"/>
          <w:szCs w:val="32"/>
        </w:rPr>
      </w:pPr>
      <w:r>
        <w:rPr>
          <w:rFonts w:cs="仿宋"/>
          <w:szCs w:val="32"/>
        </w:rPr>
        <w:t>鼓励创新科技保险、环境保险、物流保险和文化产业保险。</w:t>
      </w:r>
    </w:p>
    <w:p>
      <w:pPr>
        <w:pStyle w:val="BodyTextIndent"/>
        <w:spacing w:lineRule="exact" w:line="560"/>
        <w:ind w:endChars="0" w:end="0"/>
        <w:rPr>
          <w:rFonts w:ascii="仿宋_GB2312" w:hAnsi="仿宋_GB2312" w:cs="仿宋"/>
          <w:sz w:val="32"/>
          <w:szCs w:val="32"/>
        </w:rPr>
      </w:pPr>
      <w:r>
        <w:rPr>
          <w:rFonts w:ascii="仿宋_GB2312" w:hAnsi="仿宋_GB2312" w:cs="仿宋" w:hint="eastAsia"/>
          <w:sz w:val="32"/>
          <w:szCs w:val="32"/>
        </w:rPr>
        <w:t>发挥商业保险在公共安全、社会管理和社会保障中的重要作用，推动责任保险发展，完善公众安全责任分担机制。</w:t>
      </w:r>
    </w:p>
    <w:p>
      <w:pPr>
        <w:pStyle w:val="Normal"/>
        <w:spacing w:lineRule="exact" w:line="560"/>
        <w:ind w:start="567" w:end="0"/>
        <w:rPr>
          <w:rFonts w:ascii="仿宋_GB2312" w:hAnsi="仿宋_GB2312" w:eastAsia="仿宋_GB2312" w:cs="仿宋"/>
          <w:sz w:val="32"/>
          <w:szCs w:val="32"/>
        </w:rPr>
      </w:pPr>
      <w:r>
        <w:rPr>
          <w:rFonts w:ascii="仿宋_GB2312" w:hAnsi="仿宋_GB2312" w:cs="仿宋" w:hint="eastAsia" w:eastAsia="仿宋_GB2312"/>
          <w:sz w:val="32"/>
          <w:szCs w:val="32"/>
        </w:rPr>
        <w:t>保险机构应当加强保险诚信建设，创新服务理念，提高</w:t>
      </w:r>
    </w:p>
    <w:p>
      <w:pPr>
        <w:pStyle w:val="Normal"/>
        <w:spacing w:lineRule="exact" w:line="560"/>
        <w:rPr>
          <w:rFonts w:ascii="仿宋_GB2312" w:hAnsi="仿宋_GB2312" w:eastAsia="仿宋_GB2312" w:cs="仿宋"/>
          <w:sz w:val="32"/>
          <w:szCs w:val="32"/>
        </w:rPr>
      </w:pPr>
      <w:r>
        <w:rPr>
          <w:rFonts w:ascii="仿宋_GB2312" w:hAnsi="仿宋_GB2312" w:cs="仿宋" w:hint="eastAsia" w:eastAsia="仿宋_GB2312"/>
          <w:sz w:val="32"/>
          <w:szCs w:val="32"/>
        </w:rPr>
        <w:t>理赔效率。</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宋体" w:hint="eastAsia" w:eastAsia="仿宋_GB2312"/>
          <w:kern w:val="0"/>
          <w:sz w:val="32"/>
          <w:szCs w:val="32"/>
        </w:rPr>
        <w:t>鼓励保险业探索不动产、金融衍生产品投资。</w:t>
      </w:r>
    </w:p>
    <w:p>
      <w:pPr>
        <w:pStyle w:val="Normal"/>
        <w:spacing w:lineRule="exact" w:line="560"/>
        <w:ind w:firstLineChars="200" w:startChars="0" w:start="0" w:endChars="0" w:end="0"/>
        <w:rPr>
          <w:rFonts w:ascii="仿宋_GB2312" w:hAnsi="仿宋_GB2312" w:eastAsia="仿宋_GB2312" w:cs="仿宋"/>
          <w:i/>
          <w:sz w:val="32"/>
          <w:szCs w:val="32"/>
          <w:u w:val="single"/>
        </w:rPr>
      </w:pPr>
      <w:r>
        <w:rPr>
          <w:rFonts w:ascii="黑体" w:hAnsi="黑体" w:cs="黑体" w:hint="eastAsia" w:eastAsia="黑体"/>
          <w:sz w:val="32"/>
          <w:szCs w:val="32"/>
        </w:rPr>
        <w:t>第二十七条　</w:t>
      </w:r>
      <w:r>
        <w:rPr>
          <w:rFonts w:ascii="黑体" w:hAnsi="黑体" w:cs="黑体" w:hint="eastAsia" w:eastAsia="仿宋_GB2312"/>
          <w:sz w:val="32"/>
          <w:szCs w:val="32"/>
        </w:rPr>
        <w:t>市人民政府应当</w:t>
      </w:r>
      <w:r>
        <w:rPr>
          <w:rFonts w:ascii="仿宋_GB2312" w:hAnsi="仿宋_GB2312" w:cs="仿宋" w:hint="eastAsia" w:eastAsia="仿宋_GB2312"/>
          <w:sz w:val="32"/>
          <w:szCs w:val="32"/>
        </w:rPr>
        <w:t>建立健全金融创新的保护制度，</w:t>
      </w:r>
      <w:r>
        <w:rPr>
          <w:rFonts w:ascii="黑体" w:hAnsi="黑体" w:cs="黑体" w:hint="eastAsia" w:eastAsia="仿宋_GB2312"/>
          <w:sz w:val="32"/>
          <w:szCs w:val="32"/>
        </w:rPr>
        <w:t>维护金融创新企业和个人的合法权益。</w:t>
      </w:r>
    </w:p>
    <w:p>
      <w:pPr>
        <w:pStyle w:val="Normal"/>
        <w:spacing w:lineRule="exact" w:line="560"/>
        <w:ind w:firstLineChars="200" w:startChars="0" w:start="0" w:endChars="0" w:end="0"/>
        <w:rPr>
          <w:rFonts w:ascii="黑体" w:hAnsi="黑体" w:eastAsia="黑体" w:cs="黑体" w:hint="eastAsia"/>
          <w:sz w:val="32"/>
          <w:szCs w:val="32"/>
        </w:rPr>
      </w:pPr>
      <w:r>
        <w:rPr>
          <w:rFonts w:ascii="黑体" w:hAnsi="黑体" w:cs="黑体" w:hint="eastAsia" w:eastAsia="仿宋_GB2312"/>
          <w:sz w:val="32"/>
          <w:szCs w:val="32"/>
        </w:rPr>
        <w:t>市人民政府对在金融创新中成绩显著的单位和个人，应当给予奖励，并可以建议其上级主管部门给予嘉奖。</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第五章</w:t>
      </w:r>
      <w:r>
        <w:rPr>
          <w:rFonts w:ascii="黑体" w:hAnsi="黑体" w:cs="黑体" w:eastAsia="黑体"/>
          <w:sz w:val="32"/>
          <w:szCs w:val="32"/>
        </w:rPr>
        <w:t xml:space="preserve"> 金融布局</w:t>
      </w:r>
    </w:p>
    <w:p>
      <w:pPr>
        <w:pStyle w:val="Normal"/>
        <w:spacing w:lineRule="exact" w:line="560"/>
        <w:jc w:val="center"/>
        <w:rPr>
          <w:rFonts w:ascii="仿宋" w:hAnsi="仿宋" w:eastAsia="仿宋" w:cs="仿宋" w:hint="eastAsia"/>
          <w:b/>
          <w:sz w:val="32"/>
          <w:szCs w:val="32"/>
        </w:rPr>
      </w:pPr>
      <w:r>
        <w:rPr>
          <w:rFonts w:eastAsia="仿宋" w:cs="仿宋" w:hint="eastAsia" w:ascii="仿宋" w:hAnsi="仿宋"/>
          <w:b/>
          <w:sz w:val="32"/>
          <w:szCs w:val="32"/>
        </w:rPr>
      </w:r>
    </w:p>
    <w:p>
      <w:pPr>
        <w:pStyle w:val="Normal"/>
        <w:spacing w:lineRule="exact" w:line="560"/>
        <w:ind w:firstLineChars="200" w:startChars="0" w:start="0" w:endChars="0" w:end="0"/>
        <w:rPr>
          <w:rFonts w:ascii="黑体" w:hAnsi="黑体" w:eastAsia="仿宋_GB2312" w:cs="仿宋"/>
          <w:bCs/>
          <w:sz w:val="32"/>
          <w:szCs w:val="32"/>
        </w:rPr>
      </w:pPr>
      <w:r>
        <w:rPr>
          <w:rFonts w:ascii="黑体" w:hAnsi="黑体" w:cs="黑体" w:hint="eastAsia" w:eastAsia="黑体"/>
          <w:sz w:val="32"/>
          <w:szCs w:val="32"/>
        </w:rPr>
        <w:t>第二十八条　</w:t>
      </w:r>
      <w:r>
        <w:rPr>
          <w:rFonts w:ascii="仿宋" w:hAnsi="仿宋" w:cs="仿宋" w:hint="eastAsia" w:eastAsia="仿宋_GB2312"/>
          <w:sz w:val="32"/>
          <w:szCs w:val="32"/>
        </w:rPr>
        <w:t>市人民政府及其相关部门在编制</w:t>
      </w:r>
      <w:r>
        <w:rPr>
          <w:rFonts w:ascii="黑体" w:hAnsi="黑体" w:cs="仿宋" w:hint="eastAsia" w:eastAsia="仿宋_GB2312"/>
          <w:bCs/>
          <w:sz w:val="32"/>
          <w:szCs w:val="32"/>
        </w:rPr>
        <w:t>（修订）</w:t>
      </w:r>
      <w:r>
        <w:rPr>
          <w:rFonts w:ascii="仿宋" w:hAnsi="仿宋" w:cs="仿宋" w:hint="eastAsia" w:eastAsia="仿宋_GB2312"/>
          <w:sz w:val="32"/>
          <w:szCs w:val="32"/>
        </w:rPr>
        <w:t>城市总体规划</w:t>
      </w:r>
      <w:r>
        <w:rPr>
          <w:rFonts w:ascii="仿宋_GB2312" w:hAnsi="仿宋_GB2312" w:cs="仿宋" w:hint="eastAsia" w:eastAsia="仿宋_GB2312"/>
          <w:iCs/>
          <w:sz w:val="32"/>
          <w:szCs w:val="32"/>
        </w:rPr>
        <w:t>和</w:t>
      </w:r>
      <w:r>
        <w:rPr>
          <w:rFonts w:ascii="黑体" w:hAnsi="黑体" w:cs="仿宋" w:hint="eastAsia" w:eastAsia="仿宋_GB2312"/>
          <w:bCs/>
          <w:sz w:val="32"/>
          <w:szCs w:val="32"/>
        </w:rPr>
        <w:t>专项规划</w:t>
      </w:r>
      <w:r>
        <w:rPr>
          <w:rFonts w:ascii="仿宋_GB2312" w:hAnsi="仿宋_GB2312" w:cs="仿宋" w:hint="eastAsia" w:eastAsia="仿宋_GB2312"/>
          <w:sz w:val="32"/>
          <w:szCs w:val="32"/>
        </w:rPr>
        <w:t>时，应当科学规划金融业发展用地规模及功能，</w:t>
      </w:r>
      <w:r>
        <w:rPr>
          <w:rFonts w:ascii="黑体" w:hAnsi="黑体" w:cs="仿宋" w:hint="eastAsia" w:eastAsia="仿宋_GB2312"/>
          <w:bCs/>
          <w:sz w:val="32"/>
          <w:szCs w:val="32"/>
        </w:rPr>
        <w:t>优化</w:t>
      </w:r>
      <w:r>
        <w:rPr>
          <w:rFonts w:ascii="仿宋" w:hAnsi="仿宋" w:cs="仿宋" w:hint="eastAsia" w:eastAsia="仿宋_GB2312"/>
          <w:sz w:val="32"/>
          <w:szCs w:val="32"/>
        </w:rPr>
        <w:t>金融发展空间布局</w:t>
      </w:r>
      <w:r>
        <w:rPr>
          <w:rFonts w:ascii="黑体" w:hAnsi="黑体" w:cs="仿宋" w:hint="eastAsia" w:eastAsia="仿宋_GB2312"/>
          <w:sz w:val="32"/>
          <w:szCs w:val="32"/>
        </w:rPr>
        <w:t>。</w:t>
      </w:r>
      <w:r>
        <w:rPr>
          <w:rFonts w:ascii="仿宋_GB2312" w:hAnsi="仿宋_GB2312" w:cs="仿宋" w:eastAsia="仿宋_GB2312"/>
          <w:sz w:val="32"/>
          <w:szCs w:val="32"/>
        </w:rPr>
        <w:t>加快</w:t>
      </w:r>
      <w:r>
        <w:rPr>
          <w:rFonts w:ascii="仿宋_GB2312" w:hAnsi="仿宋_GB2312" w:cs="仿宋" w:hint="eastAsia" w:eastAsia="仿宋_GB2312"/>
          <w:sz w:val="32"/>
          <w:szCs w:val="32"/>
        </w:rPr>
        <w:t>金融</w:t>
      </w:r>
      <w:r>
        <w:rPr>
          <w:rFonts w:ascii="仿宋_GB2312" w:hAnsi="仿宋_GB2312" w:cs="仿宋" w:eastAsia="仿宋_GB2312"/>
          <w:sz w:val="32"/>
          <w:szCs w:val="32"/>
        </w:rPr>
        <w:t>核心功能区土地整合与改造，</w:t>
      </w:r>
      <w:r>
        <w:rPr>
          <w:rFonts w:ascii="黑体" w:hAnsi="黑体" w:cs="黑体" w:eastAsia="仿宋_GB2312"/>
          <w:sz w:val="32"/>
          <w:szCs w:val="32"/>
        </w:rPr>
        <w:t>形成金融基础设施齐全、代表性金融机构集聚、金融中心城市景观显著及金融人才集中的有国际影响力的现代金融核心功能区</w:t>
      </w:r>
      <w:r>
        <w:rPr>
          <w:rFonts w:ascii="仿宋_GB2312" w:hAnsi="仿宋_GB2312" w:cs="黑体" w:eastAsia="仿宋_GB2312"/>
          <w:sz w:val="32"/>
          <w:szCs w:val="32"/>
        </w:rPr>
        <w:t>。</w:t>
      </w:r>
    </w:p>
    <w:p>
      <w:pPr>
        <w:pStyle w:val="Default"/>
        <w:spacing w:lineRule="exact" w:line="560"/>
        <w:ind w:firstLineChars="200" w:startChars="0" w:start="0" w:endChars="0" w:end="0"/>
        <w:jc w:val="both"/>
        <w:rPr>
          <w:rFonts w:ascii="黑体" w:hAnsi="黑体" w:eastAsia="仿宋_GB2312" w:cs="黑体"/>
          <w:color w:val="000000"/>
          <w:kern w:val="2"/>
          <w:sz w:val="32"/>
          <w:szCs w:val="32"/>
        </w:rPr>
      </w:pPr>
      <w:r>
        <w:rPr>
          <w:rFonts w:ascii="黑体" w:hAnsi="黑体" w:cs="黑体" w:eastAsia="黑体"/>
          <w:color w:val="000000"/>
          <w:kern w:val="2"/>
          <w:sz w:val="32"/>
          <w:szCs w:val="32"/>
        </w:rPr>
        <w:t>第二十九条　</w:t>
      </w:r>
      <w:r>
        <w:rPr>
          <w:rFonts w:ascii="黑体" w:hAnsi="黑体" w:cs="黑体" w:eastAsia="仿宋_GB2312"/>
          <w:color w:val="000000"/>
          <w:kern w:val="2"/>
          <w:sz w:val="32"/>
          <w:szCs w:val="32"/>
        </w:rPr>
        <w:t>市人民政府及其相关部门在对旧工业区、旧屋村进行规划改造时，应当加强金融基础设施建设，通过拆迁补偿、土地置换、功能改造等方式，适当建设功能性金融发展基地。</w:t>
      </w:r>
    </w:p>
    <w:p>
      <w:pPr>
        <w:pStyle w:val="Normal"/>
        <w:spacing w:lineRule="exact" w:line="560"/>
        <w:ind w:firstLineChars="200" w:startChars="0" w:start="0" w:endChars="0" w:end="0"/>
        <w:rPr>
          <w:rFonts w:ascii="仿宋" w:hAnsi="仿宋" w:eastAsia="仿宋" w:cs="仿宋"/>
          <w:sz w:val="32"/>
          <w:szCs w:val="32"/>
        </w:rPr>
      </w:pPr>
      <w:r>
        <w:rPr>
          <w:rFonts w:ascii="黑体" w:hAnsi="黑体" w:cs="黑体" w:hint="eastAsia" w:eastAsia="黑体"/>
          <w:sz w:val="32"/>
          <w:szCs w:val="32"/>
        </w:rPr>
        <w:t>第三十条　</w:t>
      </w:r>
      <w:r>
        <w:rPr>
          <w:rFonts w:ascii="仿宋" w:hAnsi="仿宋" w:cs="仿宋" w:hint="eastAsia" w:eastAsia="仿宋_GB2312"/>
          <w:sz w:val="32"/>
          <w:szCs w:val="32"/>
        </w:rPr>
        <w:t>市人民政府及其相关部门应当规划建设基金产业集聚区，支持财富管理业发展。</w:t>
      </w:r>
    </w:p>
    <w:p>
      <w:pPr>
        <w:pStyle w:val="Normal"/>
        <w:spacing w:lineRule="exact" w:line="560"/>
        <w:ind w:firstLineChars="200" w:startChars="0" w:start="0" w:endChars="0" w:end="0"/>
        <w:rPr>
          <w:rFonts w:ascii="仿宋" w:hAnsi="仿宋" w:eastAsia="仿宋_GB2312" w:cs="仿宋"/>
          <w:sz w:val="32"/>
          <w:szCs w:val="32"/>
        </w:rPr>
      </w:pPr>
      <w:r>
        <w:rPr>
          <w:rFonts w:ascii="黑体" w:hAnsi="黑体" w:cs="黑体" w:hint="eastAsia" w:eastAsia="黑体"/>
          <w:sz w:val="32"/>
          <w:szCs w:val="32"/>
        </w:rPr>
        <w:t>第三十一条　</w:t>
      </w:r>
      <w:r>
        <w:rPr>
          <w:rFonts w:ascii="仿宋" w:hAnsi="仿宋" w:cs="仿宋" w:hint="eastAsia" w:eastAsia="仿宋_GB2312"/>
          <w:sz w:val="32"/>
          <w:szCs w:val="32"/>
        </w:rPr>
        <w:t>巩固强化深圳黄金珠宝产业基地地位，提高在全国的实质交易份额，积极探索创设贵金属交易基地。</w:t>
      </w:r>
    </w:p>
    <w:p>
      <w:pPr>
        <w:pStyle w:val="Normal"/>
        <w:numPr>
          <w:ilvl w:val="0"/>
          <w:numId w:val="0"/>
        </w:numPr>
        <w:spacing w:lineRule="exact" w:line="560"/>
        <w:jc w:val="center"/>
        <w:outlineLvl w:val="0"/>
        <w:rPr>
          <w:rFonts w:ascii="仿宋" w:hAnsi="仿宋" w:eastAsia="仿宋" w:cs="仿宋"/>
          <w:b/>
          <w:sz w:val="32"/>
          <w:szCs w:val="32"/>
        </w:rPr>
      </w:pPr>
      <w:r>
        <w:rPr>
          <w:rFonts w:eastAsia="仿宋" w:cs="仿宋" w:ascii="仿宋" w:hAnsi="仿宋"/>
          <w:b/>
          <w:sz w:val="32"/>
          <w:szCs w:val="32"/>
        </w:rPr>
      </w:r>
    </w:p>
    <w:p>
      <w:pPr>
        <w:pStyle w:val="Normal"/>
        <w:numPr>
          <w:ilvl w:val="0"/>
          <w:numId w:val="0"/>
        </w:numPr>
        <w:spacing w:lineRule="exact" w:line="560"/>
        <w:jc w:val="center"/>
        <w:outlineLvl w:val="0"/>
        <w:rPr>
          <w:rFonts w:ascii="黑体" w:hAnsi="黑体" w:eastAsia="黑体" w:cs="黑体"/>
          <w:sz w:val="32"/>
          <w:szCs w:val="32"/>
        </w:rPr>
      </w:pPr>
      <w:r>
        <w:rPr>
          <w:rFonts w:ascii="黑体" w:hAnsi="黑体" w:cs="黑体" w:hint="eastAsia" w:eastAsia="黑体"/>
          <w:sz w:val="32"/>
          <w:szCs w:val="32"/>
        </w:rPr>
        <w:t>第六章</w:t>
      </w:r>
      <w:r>
        <w:rPr>
          <w:rFonts w:ascii="黑体" w:hAnsi="黑体" w:cs="黑体" w:eastAsia="黑体"/>
          <w:sz w:val="32"/>
          <w:szCs w:val="32"/>
        </w:rPr>
        <w:t xml:space="preserve"> 金融合作</w:t>
      </w:r>
    </w:p>
    <w:p>
      <w:pPr>
        <w:pStyle w:val="Normal"/>
        <w:numPr>
          <w:ilvl w:val="0"/>
          <w:numId w:val="0"/>
        </w:numPr>
        <w:spacing w:lineRule="exact" w:line="560"/>
        <w:jc w:val="center"/>
        <w:outlineLvl w:val="0"/>
        <w:rPr>
          <w:rFonts w:ascii="仿宋" w:hAnsi="仿宋" w:eastAsia="仿宋" w:cs="仿宋"/>
          <w:b/>
          <w:sz w:val="32"/>
          <w:szCs w:val="32"/>
        </w:rPr>
      </w:pPr>
      <w:r>
        <w:rPr>
          <w:rFonts w:eastAsia="仿宋" w:cs="仿宋" w:ascii="仿宋" w:hAnsi="仿宋"/>
          <w:b/>
          <w:sz w:val="32"/>
          <w:szCs w:val="32"/>
        </w:rPr>
      </w:r>
    </w:p>
    <w:p>
      <w:pPr>
        <w:pStyle w:val="Normal"/>
        <w:spacing w:lineRule="exact" w:line="560"/>
        <w:ind w:firstLineChars="200" w:startChars="0" w:start="0" w:endChars="0" w:end="0"/>
        <w:rPr>
          <w:rFonts w:ascii="仿宋" w:hAnsi="仿宋" w:eastAsia="仿宋_GB2312" w:cs="仿宋"/>
          <w:sz w:val="32"/>
          <w:szCs w:val="32"/>
        </w:rPr>
      </w:pPr>
      <w:r>
        <w:rPr>
          <w:rFonts w:ascii="黑体" w:hAnsi="黑体" w:cs="黑体" w:hint="eastAsia" w:eastAsia="黑体"/>
          <w:sz w:val="32"/>
          <w:szCs w:val="32"/>
        </w:rPr>
        <w:t>第三十二条</w:t>
      </w:r>
      <w:r>
        <w:rPr>
          <w:rFonts w:ascii="黑体" w:hAnsi="黑体" w:cs="黑体" w:hint="eastAsia" w:eastAsia="仿宋_GB2312"/>
          <w:sz w:val="32"/>
          <w:szCs w:val="32"/>
        </w:rPr>
        <w:t>　</w:t>
      </w:r>
      <w:r>
        <w:rPr>
          <w:rFonts w:ascii="仿宋" w:hAnsi="仿宋" w:cs="仿宋" w:hint="eastAsia" w:eastAsia="仿宋_GB2312"/>
          <w:sz w:val="32"/>
          <w:szCs w:val="32"/>
        </w:rPr>
        <w:t>深港金融合作应当坚持积极、审慎、有序、渐进、技术性开放原则，在</w:t>
      </w:r>
      <w:r>
        <w:rPr>
          <w:rFonts w:ascii="黑体" w:hAnsi="黑体" w:cs="仿宋" w:hint="eastAsia" w:eastAsia="仿宋_GB2312"/>
          <w:bCs/>
          <w:sz w:val="32"/>
          <w:szCs w:val="32"/>
        </w:rPr>
        <w:t>金融</w:t>
      </w:r>
      <w:r>
        <w:rPr>
          <w:rFonts w:ascii="仿宋_GB2312" w:hAnsi="仿宋_GB2312" w:cs="仿宋" w:hint="eastAsia" w:eastAsia="仿宋_GB2312"/>
          <w:sz w:val="32"/>
          <w:szCs w:val="32"/>
        </w:rPr>
        <w:t>开放的</w:t>
      </w:r>
      <w:r>
        <w:rPr>
          <w:rFonts w:ascii="黑体" w:hAnsi="黑体" w:cs="黑体" w:hint="eastAsia" w:eastAsia="仿宋_GB2312"/>
          <w:sz w:val="32"/>
          <w:szCs w:val="32"/>
        </w:rPr>
        <w:t>进程</w:t>
      </w:r>
      <w:r>
        <w:rPr>
          <w:rFonts w:ascii="仿宋_GB2312" w:hAnsi="仿宋_GB2312" w:cs="仿宋" w:hint="eastAsia" w:eastAsia="仿宋_GB2312"/>
          <w:sz w:val="32"/>
          <w:szCs w:val="32"/>
        </w:rPr>
        <w:t>中，探索与香港金融市场对接。</w:t>
      </w:r>
    </w:p>
    <w:p>
      <w:pPr>
        <w:pStyle w:val="Normal"/>
        <w:spacing w:lineRule="exact" w:line="560"/>
        <w:ind w:firstLineChars="200" w:startChars="0" w:start="0" w:endChars="0" w:end="0"/>
        <w:rPr>
          <w:rFonts w:ascii="仿宋" w:hAnsi="仿宋" w:eastAsia="仿宋_GB2312" w:cs="仿宋"/>
          <w:sz w:val="32"/>
          <w:szCs w:val="32"/>
        </w:rPr>
      </w:pPr>
      <w:r>
        <w:rPr>
          <w:rFonts w:ascii="黑体" w:hAnsi="黑体" w:cs="黑体" w:hint="eastAsia" w:eastAsia="黑体"/>
          <w:sz w:val="32"/>
          <w:szCs w:val="32"/>
        </w:rPr>
        <w:t>第三十三条　</w:t>
      </w:r>
      <w:r>
        <w:rPr>
          <w:rFonts w:ascii="仿宋" w:hAnsi="仿宋" w:cs="仿宋" w:hint="eastAsia" w:eastAsia="仿宋_GB2312"/>
          <w:sz w:val="32"/>
          <w:szCs w:val="32"/>
        </w:rPr>
        <w:t>市人民政府应当协调监管机构及金融机构与香港监管机构与金融机构在下列领域开展合作：</w:t>
      </w:r>
    </w:p>
    <w:p>
      <w:pPr>
        <w:pStyle w:val="Normal"/>
        <w:spacing w:lineRule="exact" w:line="560"/>
        <w:ind w:firstLineChars="200" w:startChars="0" w:start="0" w:endChars="0" w:end="0"/>
        <w:rPr>
          <w:rFonts w:ascii="仿宋" w:hAnsi="仿宋" w:eastAsia="仿宋_GB2312" w:cs="仿宋"/>
          <w:sz w:val="32"/>
          <w:szCs w:val="32"/>
        </w:rPr>
      </w:pPr>
      <w:r>
        <w:rPr>
          <w:rFonts w:ascii="仿宋_GB2312" w:hAnsi="仿宋_GB2312" w:cs="仿宋" w:hint="eastAsia" w:eastAsia="仿宋_GB2312"/>
          <w:sz w:val="32"/>
          <w:szCs w:val="32"/>
        </w:rPr>
        <w:t>（一）支持香港发展人民币业务，</w:t>
      </w:r>
      <w:r>
        <w:rPr>
          <w:rFonts w:ascii="黑体" w:hAnsi="黑体" w:cs="仿宋" w:hint="eastAsia" w:eastAsia="仿宋_GB2312"/>
          <w:sz w:val="32"/>
          <w:szCs w:val="32"/>
        </w:rPr>
        <w:t>在两地货币市场合作的深度与广度方面进一步加强合作</w:t>
      </w:r>
      <w:r>
        <w:rPr>
          <w:rFonts w:ascii="仿宋" w:hAnsi="仿宋" w:cs="仿宋" w:hint="eastAsia" w:eastAsia="仿宋_GB2312"/>
          <w:sz w:val="32"/>
          <w:szCs w:val="32"/>
        </w:rPr>
        <w:t>；</w:t>
      </w:r>
    </w:p>
    <w:p>
      <w:pPr>
        <w:pStyle w:val="Normal"/>
        <w:spacing w:lineRule="exact" w:line="560"/>
        <w:ind w:firstLineChars="200" w:startChars="0" w:start="0" w:endChars="0" w:end="0"/>
        <w:rPr>
          <w:rFonts w:ascii="黑体" w:hAnsi="黑体" w:eastAsia="仿宋_GB2312" w:cs="仿宋" w:hint="eastAsia"/>
          <w:bCs/>
          <w:sz w:val="32"/>
          <w:szCs w:val="32"/>
        </w:rPr>
      </w:pPr>
      <w:r>
        <w:rPr>
          <w:rFonts w:ascii="黑体" w:hAnsi="黑体" w:cs="仿宋" w:hint="eastAsia" w:eastAsia="仿宋_GB2312"/>
          <w:bCs/>
          <w:sz w:val="32"/>
          <w:szCs w:val="32"/>
        </w:rPr>
        <w:t>（二）深化深港两地银行间的业务合作，支持港资银行在深圳发展；</w:t>
      </w:r>
    </w:p>
    <w:p>
      <w:pPr>
        <w:pStyle w:val="Normal"/>
        <w:spacing w:lineRule="exact" w:line="560"/>
        <w:ind w:firstLineChars="200" w:startChars="0" w:start="0" w:endChars="0" w:end="0"/>
        <w:rPr>
          <w:rFonts w:ascii="仿宋" w:hAnsi="仿宋" w:eastAsia="仿宋_GB2312" w:cs="仿宋"/>
          <w:sz w:val="32"/>
          <w:szCs w:val="32"/>
        </w:rPr>
      </w:pPr>
      <w:r>
        <w:rPr>
          <w:rFonts w:ascii="仿宋_GB2312" w:hAnsi="仿宋_GB2312" w:cs="仿宋" w:hint="eastAsia" w:eastAsia="仿宋_GB2312"/>
          <w:sz w:val="32"/>
          <w:szCs w:val="32"/>
        </w:rPr>
        <w:t>（三）建立深港两地证券交易所合作伙伴关系，推动两地资本市场互联、互通；</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仿宋" w:hint="eastAsia" w:eastAsia="仿宋_GB2312"/>
          <w:bCs/>
          <w:sz w:val="32"/>
          <w:szCs w:val="32"/>
        </w:rPr>
        <w:t>（四）</w:t>
      </w:r>
      <w:r>
        <w:rPr>
          <w:rFonts w:ascii="仿宋_GB2312" w:hAnsi="仿宋_GB2312" w:cs="仿宋" w:hint="eastAsia" w:eastAsia="仿宋_GB2312"/>
          <w:sz w:val="32"/>
          <w:szCs w:val="32"/>
        </w:rPr>
        <w:t>拓宽深港两地保险市场合作范围，加强双方在业务、培训、后援服务外包等多个领域的交流合作；</w:t>
      </w:r>
    </w:p>
    <w:p>
      <w:pPr>
        <w:pStyle w:val="Normal"/>
        <w:spacing w:lineRule="exact" w:line="560"/>
        <w:ind w:firstLineChars="200" w:startChars="0" w:start="0" w:endChars="0" w:end="0"/>
        <w:rPr>
          <w:rFonts w:ascii="黑体" w:hAnsi="黑体" w:eastAsia="仿宋_GB2312" w:cs="仿宋"/>
          <w:sz w:val="32"/>
          <w:szCs w:val="32"/>
        </w:rPr>
      </w:pPr>
      <w:r>
        <w:rPr>
          <w:rFonts w:ascii="黑体" w:hAnsi="黑体" w:cs="仿宋" w:hint="eastAsia" w:eastAsia="仿宋_GB2312"/>
          <w:sz w:val="32"/>
          <w:szCs w:val="32"/>
        </w:rPr>
        <w:t>（五）加强深港两地在商品期货、金融期货等金融衍生产品市场的合作，探索共同设立石油等大宗商品期货交易所；</w:t>
      </w:r>
    </w:p>
    <w:p>
      <w:pPr>
        <w:pStyle w:val="Normal"/>
        <w:spacing w:lineRule="exact" w:line="560"/>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sz w:val="32"/>
          <w:szCs w:val="32"/>
        </w:rPr>
        <w:t>（六）完善</w:t>
      </w:r>
      <w:r>
        <w:rPr>
          <w:rFonts w:ascii="黑体" w:hAnsi="黑体" w:cs="黑体" w:hint="eastAsia" w:eastAsia="仿宋_GB2312"/>
          <w:sz w:val="32"/>
          <w:szCs w:val="32"/>
        </w:rPr>
        <w:t>深港</w:t>
      </w:r>
      <w:r>
        <w:rPr>
          <w:rFonts w:ascii="仿宋_GB2312" w:hAnsi="仿宋_GB2312" w:cs="仿宋" w:hint="eastAsia" w:eastAsia="仿宋_GB2312"/>
          <w:sz w:val="32"/>
          <w:szCs w:val="32"/>
        </w:rPr>
        <w:t>两地清算、支付系统</w:t>
      </w:r>
      <w:r>
        <w:rPr>
          <w:rFonts w:ascii="黑体" w:hAnsi="黑体" w:cs="仿宋" w:hint="eastAsia" w:eastAsia="仿宋_GB2312"/>
          <w:bCs/>
          <w:sz w:val="32"/>
          <w:szCs w:val="32"/>
        </w:rPr>
        <w:t>等金融基础设施建设</w:t>
      </w:r>
      <w:r>
        <w:rPr>
          <w:rFonts w:ascii="仿宋_GB2312" w:hAnsi="仿宋_GB2312" w:cs="仿宋" w:hint="eastAsia" w:eastAsia="仿宋_GB2312"/>
          <w:bCs/>
          <w:sz w:val="32"/>
          <w:szCs w:val="32"/>
        </w:rPr>
        <w:t>。</w:t>
      </w:r>
    </w:p>
    <w:p>
      <w:pPr>
        <w:pStyle w:val="Normal"/>
        <w:spacing w:lineRule="exact" w:line="56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第三十四条　</w:t>
      </w:r>
      <w:r>
        <w:rPr>
          <w:rFonts w:ascii="仿宋" w:hAnsi="仿宋" w:cs="仿宋" w:hint="eastAsia" w:eastAsia="仿宋_GB2312"/>
          <w:sz w:val="32"/>
          <w:szCs w:val="32"/>
        </w:rPr>
        <w:t>市人民政府应当就深港双方合作中的重大问题和阶段性任务与香港方面进行磋商，所涉议题列入政府高层互访讨论的议程。</w:t>
      </w:r>
    </w:p>
    <w:p>
      <w:pPr>
        <w:pStyle w:val="3"/>
        <w:spacing w:lineRule="exact" w:line="560"/>
        <w:rPr>
          <w:rFonts w:ascii="仿宋" w:hAnsi="仿宋" w:cs="仿宋"/>
          <w:szCs w:val="32"/>
        </w:rPr>
      </w:pPr>
      <w:r>
        <w:rPr>
          <w:rFonts w:ascii="仿宋" w:hAnsi="仿宋" w:cs="仿宋"/>
          <w:szCs w:val="32"/>
        </w:rPr>
        <w:t>支持建立双方监管机构之间的沟通机制，加强与香港相关监管机构之间的沟通和协调，建立横向合作、信息沟通及工作会晤机制，共同支持金融创新与金融风险防范。</w:t>
      </w:r>
    </w:p>
    <w:p>
      <w:pPr>
        <w:pStyle w:val="Normal"/>
        <w:spacing w:lineRule="exact" w:line="560"/>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鼓励双方金融机构之间以高层论坛、专业交流、</w:t>
      </w:r>
      <w:r>
        <w:rPr>
          <w:rFonts w:ascii="仿宋" w:hAnsi="仿宋" w:cs="仿宋" w:hint="eastAsia" w:eastAsia="仿宋_GB2312"/>
          <w:sz w:val="32"/>
          <w:szCs w:val="32"/>
        </w:rPr>
        <w:t>行业公会</w:t>
      </w:r>
      <w:r>
        <w:rPr>
          <w:rFonts w:ascii="仿宋" w:hAnsi="仿宋" w:cs="仿宋" w:hint="eastAsia" w:eastAsia="仿宋_GB2312"/>
          <w:sz w:val="32"/>
          <w:szCs w:val="32"/>
        </w:rPr>
        <w:t>之间互访等形式加强合作与交流。</w:t>
      </w:r>
    </w:p>
    <w:p>
      <w:pPr>
        <w:pStyle w:val="3"/>
        <w:spacing w:lineRule="exact" w:line="560"/>
        <w:rPr>
          <w:rFonts w:ascii="仿宋" w:hAnsi="仿宋" w:cs="仿宋"/>
          <w:szCs w:val="32"/>
        </w:rPr>
      </w:pPr>
      <w:r>
        <w:rPr>
          <w:rFonts w:ascii="仿宋" w:hAnsi="仿宋" w:cs="仿宋"/>
          <w:szCs w:val="32"/>
        </w:rPr>
        <w:t>鼓励双方大学与研究机构的金融专家定期举行学术研讨会。</w:t>
      </w:r>
    </w:p>
    <w:p>
      <w:pPr>
        <w:pStyle w:val="3"/>
        <w:spacing w:lineRule="exact" w:line="560"/>
        <w:rPr>
          <w:rFonts w:cs="仿宋"/>
          <w:bCs/>
          <w:szCs w:val="32"/>
        </w:rPr>
      </w:pPr>
      <w:r>
        <w:rPr>
          <w:rFonts w:ascii="黑体" w:hAnsi="黑体" w:cs="黑体" w:eastAsia="黑体"/>
          <w:bCs/>
          <w:szCs w:val="32"/>
        </w:rPr>
        <w:t>第三十五条　</w:t>
      </w:r>
      <w:r>
        <w:rPr>
          <w:rFonts w:cs="仿宋"/>
          <w:bCs/>
          <w:szCs w:val="32"/>
        </w:rPr>
        <w:t>市人民政府应当协调监管机构及金融机构与澳门开展合作。合作内容及合作机制参照本条例第三十三条、第三十四条规定执行。</w:t>
      </w:r>
    </w:p>
    <w:p>
      <w:pPr>
        <w:pStyle w:val="Normal"/>
        <w:spacing w:lineRule="exact" w:line="56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第三十六条　</w:t>
      </w:r>
      <w:r>
        <w:rPr>
          <w:rFonts w:ascii="仿宋" w:hAnsi="仿宋" w:cs="仿宋" w:hint="eastAsia" w:eastAsia="仿宋_GB2312"/>
          <w:sz w:val="32"/>
          <w:szCs w:val="32"/>
        </w:rPr>
        <w:t>加强与国内金融中心城市的合作，增强深圳金融业的辐射力。</w:t>
      </w:r>
    </w:p>
    <w:p>
      <w:pPr>
        <w:pStyle w:val="Normal"/>
        <w:spacing w:lineRule="exact" w:line="56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第三十七条　</w:t>
      </w:r>
      <w:r>
        <w:rPr>
          <w:rFonts w:ascii="仿宋" w:hAnsi="仿宋" w:cs="仿宋" w:hint="eastAsia" w:eastAsia="仿宋_GB2312"/>
          <w:sz w:val="32"/>
          <w:szCs w:val="32"/>
        </w:rPr>
        <w:t>加强与国际金融中心城市的交流与合作，推动人员业务交流，互设代表处。</w:t>
      </w:r>
    </w:p>
    <w:p>
      <w:pPr>
        <w:pStyle w:val="Normal"/>
        <w:numPr>
          <w:ilvl w:val="0"/>
          <w:numId w:val="0"/>
        </w:numPr>
        <w:spacing w:lineRule="exact" w:line="560"/>
        <w:jc w:val="center"/>
        <w:outlineLvl w:val="0"/>
        <w:rPr>
          <w:rFonts w:ascii="仿宋" w:hAnsi="仿宋" w:eastAsia="仿宋" w:cs="仿宋" w:hint="eastAsia"/>
          <w:bCs/>
          <w:sz w:val="32"/>
          <w:szCs w:val="32"/>
        </w:rPr>
      </w:pPr>
      <w:r>
        <w:rPr>
          <w:rFonts w:eastAsia="仿宋" w:cs="仿宋" w:hint="eastAsia" w:ascii="仿宋" w:hAnsi="仿宋"/>
          <w:bCs/>
          <w:sz w:val="32"/>
          <w:szCs w:val="32"/>
        </w:rPr>
      </w:r>
    </w:p>
    <w:p>
      <w:pPr>
        <w:pStyle w:val="Normal"/>
        <w:numPr>
          <w:ilvl w:val="0"/>
          <w:numId w:val="0"/>
        </w:numPr>
        <w:spacing w:lineRule="exact" w:line="560"/>
        <w:jc w:val="center"/>
        <w:outlineLvl w:val="0"/>
        <w:rPr>
          <w:rFonts w:ascii="黑体" w:hAnsi="黑体" w:eastAsia="黑体" w:cs="黑体" w:hint="eastAsia"/>
          <w:sz w:val="32"/>
          <w:szCs w:val="32"/>
        </w:rPr>
      </w:pPr>
      <w:r>
        <w:rPr>
          <w:rFonts w:ascii="黑体" w:hAnsi="黑体" w:cs="黑体" w:hint="eastAsia" w:eastAsia="黑体"/>
          <w:sz w:val="32"/>
          <w:szCs w:val="32"/>
        </w:rPr>
        <w:t>第七章 金融生态</w:t>
      </w:r>
    </w:p>
    <w:p>
      <w:pPr>
        <w:pStyle w:val="Normal"/>
        <w:numPr>
          <w:ilvl w:val="0"/>
          <w:numId w:val="0"/>
        </w:numPr>
        <w:spacing w:lineRule="exact" w:line="560"/>
        <w:jc w:val="center"/>
        <w:outlineLvl w:val="0"/>
        <w:rPr>
          <w:rFonts w:ascii="仿宋" w:hAnsi="仿宋" w:eastAsia="仿宋" w:cs="仿宋" w:hint="eastAsia"/>
          <w:b/>
          <w:sz w:val="32"/>
          <w:szCs w:val="32"/>
        </w:rPr>
      </w:pPr>
      <w:r>
        <w:rPr>
          <w:rFonts w:eastAsia="仿宋" w:cs="仿宋" w:hint="eastAsia" w:ascii="仿宋" w:hAnsi="仿宋"/>
          <w:b/>
          <w:sz w:val="32"/>
          <w:szCs w:val="32"/>
        </w:rPr>
      </w:r>
    </w:p>
    <w:p>
      <w:pPr>
        <w:pStyle w:val="Normal"/>
        <w:spacing w:lineRule="exact" w:line="56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第三十八条　</w:t>
      </w:r>
      <w:r>
        <w:rPr>
          <w:rFonts w:ascii="仿宋" w:hAnsi="仿宋" w:cs="仿宋" w:hint="eastAsia" w:eastAsia="仿宋_GB2312"/>
          <w:sz w:val="32"/>
          <w:szCs w:val="32"/>
        </w:rPr>
        <w:t>市人民政府及其相关部门应当采取下列措施加强金融教育、培训和宣传，提高公职人员和市民的金融意识及素质：</w:t>
      </w:r>
    </w:p>
    <w:p>
      <w:pPr>
        <w:pStyle w:val="Normal"/>
        <w:spacing w:lineRule="exact" w:line="560"/>
        <w:ind w:firstLineChars="15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（一）将金融知识教育列入公务员培训内容；</w:t>
      </w:r>
    </w:p>
    <w:p>
      <w:pPr>
        <w:pStyle w:val="Normal"/>
        <w:spacing w:lineRule="exact" w:line="560"/>
        <w:ind w:firstLineChars="150" w:startChars="0" w:start="0" w:endChars="0" w:end="0"/>
        <w:rPr>
          <w:rFonts w:ascii="黑体" w:hAnsi="黑体" w:eastAsia="仿宋_GB2312" w:cs="黑体" w:hint="eastAsia"/>
          <w:sz w:val="32"/>
          <w:szCs w:val="32"/>
        </w:rPr>
      </w:pPr>
      <w:r>
        <w:rPr>
          <w:rFonts w:ascii="仿宋" w:hAnsi="仿宋" w:cs="仿宋" w:hint="eastAsia" w:eastAsia="仿宋_GB2312"/>
          <w:sz w:val="32"/>
          <w:szCs w:val="32"/>
        </w:rPr>
        <w:t>（二）建立金融业发展高级研讨班制度，</w:t>
      </w:r>
      <w:r>
        <w:rPr>
          <w:rFonts w:ascii="黑体" w:hAnsi="黑体" w:cs="黑体" w:hint="eastAsia" w:eastAsia="仿宋_GB2312"/>
          <w:sz w:val="32"/>
          <w:szCs w:val="32"/>
        </w:rPr>
        <w:t>国家机关、企业事业单位负责人应当定期参加金融业发展高级研讨班，学习金融理论，掌握金融发展动态；</w:t>
      </w:r>
    </w:p>
    <w:p>
      <w:pPr>
        <w:pStyle w:val="Normal"/>
        <w:spacing w:lineRule="exact" w:line="560"/>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（三）举办中小企业融资、证券投资基金和金融衍生产品等金融高峰论坛，吸引国际知名专家和机构来深圳交流金融发展、创新和监管经验；</w:t>
      </w:r>
    </w:p>
    <w:p>
      <w:pPr>
        <w:pStyle w:val="Normal"/>
        <w:spacing w:lineRule="exact" w:line="560"/>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（四）开展金融宣传教育进社区、进企业、进学校活动。</w:t>
      </w:r>
    </w:p>
    <w:p>
      <w:pPr>
        <w:pStyle w:val="Normal"/>
        <w:spacing w:lineRule="exact" w:line="560"/>
        <w:ind w:firstLineChars="200" w:startChars="0" w:start="0" w:endChars="0" w:end="0"/>
        <w:rPr>
          <w:rFonts w:ascii="仿宋" w:hAnsi="仿宋" w:eastAsia="仿宋_GB2312" w:cs="仿宋" w:hint="eastAsia"/>
          <w:i/>
          <w:sz w:val="32"/>
          <w:szCs w:val="32"/>
          <w:u w:val="single"/>
        </w:rPr>
      </w:pPr>
      <w:r>
        <w:rPr>
          <w:rFonts w:ascii="黑体" w:hAnsi="黑体" w:cs="黑体" w:hint="eastAsia" w:eastAsia="黑体"/>
          <w:sz w:val="32"/>
          <w:szCs w:val="32"/>
        </w:rPr>
        <w:t>第三十九条　</w:t>
      </w:r>
      <w:r>
        <w:rPr>
          <w:rFonts w:ascii="黑体" w:hAnsi="黑体" w:cs="黑体" w:hint="eastAsia" w:eastAsia="仿宋_GB2312"/>
          <w:sz w:val="32"/>
          <w:szCs w:val="32"/>
        </w:rPr>
        <w:t>国家机关、企业事业单位应当支持监管机构及社会征信机构的信用信息收集工作，建立统一的信用信息平台。</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第四十条　</w:t>
      </w:r>
      <w:r>
        <w:rPr>
          <w:rFonts w:ascii="仿宋_GB2312" w:hAnsi="仿宋_GB2312" w:cs="仿宋" w:hint="eastAsia" w:eastAsia="仿宋_GB2312"/>
          <w:sz w:val="32"/>
          <w:szCs w:val="32"/>
        </w:rPr>
        <w:t>鼓励发展会计、律师、资产评估、信用评级、证券和期货投资咨询、财经资讯、调查公司和非上市公司产权登记中心等专业服务机构。</w:t>
      </w:r>
    </w:p>
    <w:p>
      <w:pPr>
        <w:pStyle w:val="3"/>
        <w:spacing w:lineRule="exact" w:line="560"/>
        <w:rPr>
          <w:rFonts w:cs="仿宋"/>
          <w:szCs w:val="32"/>
        </w:rPr>
      </w:pPr>
      <w:r>
        <w:rPr>
          <w:rFonts w:cs="仿宋"/>
          <w:szCs w:val="32"/>
        </w:rPr>
        <w:t>鼓励专业服务机构培育民族品牌、与国际知名机构开展合作、并购联合，提高专业化水平和公信力。具体办法由市人民政府制定。</w:t>
      </w:r>
    </w:p>
    <w:p>
      <w:pPr>
        <w:pStyle w:val="Normal"/>
        <w:spacing w:lineRule="exact" w:line="56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第四十一条　</w:t>
      </w:r>
      <w:r>
        <w:rPr>
          <w:rFonts w:ascii="黑体" w:hAnsi="黑体" w:cs="黑体" w:hint="eastAsia" w:eastAsia="仿宋_GB2312"/>
          <w:sz w:val="32"/>
          <w:szCs w:val="32"/>
        </w:rPr>
        <w:t>市人民政府</w:t>
      </w:r>
      <w:r>
        <w:rPr>
          <w:rFonts w:ascii="仿宋_GB2312" w:hAnsi="仿宋_GB2312" w:cs="仿宋" w:hint="eastAsia" w:eastAsia="仿宋_GB2312"/>
          <w:sz w:val="32"/>
          <w:szCs w:val="32"/>
        </w:rPr>
        <w:t>和监管机构</w:t>
      </w:r>
      <w:r>
        <w:rPr>
          <w:rFonts w:ascii="黑体" w:hAnsi="黑体" w:cs="仿宋" w:hint="eastAsia" w:eastAsia="仿宋_GB2312"/>
          <w:sz w:val="32"/>
          <w:szCs w:val="32"/>
        </w:rPr>
        <w:t>应当发挥</w:t>
      </w:r>
      <w:r>
        <w:rPr>
          <w:rFonts w:ascii="仿宋" w:hAnsi="仿宋" w:cs="仿宋" w:hint="eastAsia" w:eastAsia="仿宋_GB2312"/>
          <w:sz w:val="32"/>
          <w:szCs w:val="32"/>
        </w:rPr>
        <w:t>行业协会作用，引导、支持行业协会</w:t>
      </w:r>
      <w:r>
        <w:rPr>
          <w:rFonts w:ascii="黑体" w:hAnsi="黑体" w:cs="仿宋" w:hint="eastAsia" w:eastAsia="仿宋_GB2312"/>
          <w:sz w:val="32"/>
          <w:szCs w:val="32"/>
        </w:rPr>
        <w:t>完善</w:t>
      </w:r>
      <w:r>
        <w:rPr>
          <w:rFonts w:ascii="仿宋" w:hAnsi="仿宋" w:cs="仿宋" w:hint="eastAsia" w:eastAsia="仿宋_GB2312"/>
          <w:sz w:val="32"/>
          <w:szCs w:val="32"/>
        </w:rPr>
        <w:t>信息平台和违规披露机制，提高行业自律水平。</w:t>
      </w:r>
    </w:p>
    <w:p>
      <w:pPr>
        <w:pStyle w:val="Normal"/>
        <w:spacing w:lineRule="exact" w:line="56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第四十二条　</w:t>
      </w:r>
      <w:r>
        <w:rPr>
          <w:rFonts w:ascii="仿宋" w:hAnsi="仿宋" w:cs="仿宋" w:hint="eastAsia" w:eastAsia="仿宋_GB2312"/>
          <w:sz w:val="32"/>
          <w:szCs w:val="32"/>
        </w:rPr>
        <w:t xml:space="preserve">司法机关应当提高处置涉金融案件的能力和水平，加大对涉金融案件的审理、执行力度，保护金融机构和从业人员的合法权益。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第四十三条　</w:t>
      </w:r>
      <w:r>
        <w:rPr>
          <w:rFonts w:ascii="仿宋_GB2312" w:hAnsi="仿宋_GB2312" w:cs="仿宋" w:hint="eastAsia" w:eastAsia="仿宋_GB2312"/>
          <w:sz w:val="32"/>
          <w:szCs w:val="32"/>
        </w:rPr>
        <w:t>市人民政府应当建立金融发展风险评估机制，培育和引进金融风险评估机构，科学界定风险评估标准及风险等级</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建立风险预警机制和金融风险的常规处理机制，维护地方金融稳定和安全。</w:t>
      </w:r>
    </w:p>
    <w:p>
      <w:pPr>
        <w:pStyle w:val="Normal"/>
        <w:spacing w:lineRule="exact" w:line="56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第四十四条　</w:t>
      </w:r>
      <w:r>
        <w:rPr>
          <w:rFonts w:ascii="黑体" w:hAnsi="黑体" w:cs="黑体" w:hint="eastAsia" w:eastAsia="仿宋_GB2312"/>
          <w:sz w:val="32"/>
          <w:szCs w:val="32"/>
        </w:rPr>
        <w:t>市人民政府可以设立</w:t>
      </w:r>
      <w:r>
        <w:rPr>
          <w:rFonts w:ascii="仿宋" w:hAnsi="仿宋" w:cs="仿宋" w:hint="eastAsia" w:eastAsia="仿宋_GB2312"/>
          <w:sz w:val="32"/>
          <w:szCs w:val="32"/>
        </w:rPr>
        <w:t>金融发展资金。以市人民政府出资为主，金融机构参与出资，形成共同出资、共同享有、共担风险机制。资金管理办法由市人民政府制定。</w:t>
      </w:r>
    </w:p>
    <w:p>
      <w:pPr>
        <w:pStyle w:val="Normal"/>
        <w:numPr>
          <w:ilvl w:val="0"/>
          <w:numId w:val="0"/>
        </w:numPr>
        <w:spacing w:lineRule="exact" w:line="560"/>
        <w:jc w:val="center"/>
        <w:outlineLvl w:val="0"/>
        <w:rPr>
          <w:rFonts w:ascii="仿宋" w:hAnsi="仿宋" w:eastAsia="仿宋" w:cs="仿宋" w:hint="eastAsia"/>
          <w:b/>
          <w:sz w:val="32"/>
          <w:szCs w:val="32"/>
        </w:rPr>
      </w:pPr>
      <w:r>
        <w:rPr>
          <w:rFonts w:eastAsia="仿宋" w:cs="仿宋" w:hint="eastAsia" w:ascii="仿宋" w:hAnsi="仿宋"/>
          <w:b/>
          <w:sz w:val="32"/>
          <w:szCs w:val="32"/>
        </w:rPr>
      </w:r>
    </w:p>
    <w:p>
      <w:pPr>
        <w:pStyle w:val="Normal"/>
        <w:numPr>
          <w:ilvl w:val="0"/>
          <w:numId w:val="0"/>
        </w:numPr>
        <w:spacing w:lineRule="exact" w:line="560"/>
        <w:jc w:val="center"/>
        <w:outlineLvl w:val="0"/>
        <w:rPr>
          <w:rFonts w:ascii="黑体" w:hAnsi="黑体" w:eastAsia="黑体" w:cs="黑体" w:hint="eastAsia"/>
          <w:bCs/>
          <w:sz w:val="32"/>
          <w:szCs w:val="32"/>
        </w:rPr>
      </w:pPr>
      <w:r>
        <w:rPr>
          <w:rFonts w:ascii="黑体" w:hAnsi="黑体" w:cs="黑体" w:hint="eastAsia" w:eastAsia="黑体"/>
          <w:bCs/>
          <w:sz w:val="32"/>
          <w:szCs w:val="32"/>
        </w:rPr>
        <w:t>第八章 金融发展委员会</w:t>
      </w:r>
    </w:p>
    <w:p>
      <w:pPr>
        <w:pStyle w:val="Normal"/>
        <w:numPr>
          <w:ilvl w:val="0"/>
          <w:numId w:val="0"/>
        </w:numPr>
        <w:spacing w:lineRule="exact" w:line="560"/>
        <w:jc w:val="center"/>
        <w:outlineLvl w:val="0"/>
        <w:rPr>
          <w:rFonts w:ascii="仿宋" w:hAnsi="仿宋" w:eastAsia="仿宋" w:cs="仿宋" w:hint="eastAsia"/>
          <w:bCs/>
          <w:sz w:val="32"/>
          <w:szCs w:val="32"/>
        </w:rPr>
      </w:pPr>
      <w:r>
        <w:rPr>
          <w:rFonts w:eastAsia="仿宋" w:cs="仿宋" w:hint="eastAsia" w:ascii="仿宋" w:hAnsi="仿宋"/>
          <w:bCs/>
          <w:sz w:val="32"/>
          <w:szCs w:val="32"/>
        </w:rPr>
      </w:r>
    </w:p>
    <w:p>
      <w:pPr>
        <w:pStyle w:val="Normal"/>
        <w:spacing w:lineRule="exact" w:line="56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第四十</w:t>
      </w:r>
      <w:r>
        <w:rPr>
          <w:rFonts w:ascii="黑体" w:hAnsi="黑体" w:cs="黑体" w:hint="eastAsia" w:eastAsia="黑体"/>
          <w:iCs/>
          <w:sz w:val="32"/>
          <w:szCs w:val="32"/>
        </w:rPr>
        <w:t>五</w:t>
      </w:r>
      <w:r>
        <w:rPr>
          <w:rFonts w:ascii="黑体" w:hAnsi="黑体" w:cs="黑体" w:hint="eastAsia" w:eastAsia="黑体"/>
          <w:sz w:val="32"/>
          <w:szCs w:val="32"/>
        </w:rPr>
        <w:t>条</w:t>
      </w:r>
      <w:r>
        <w:rPr>
          <w:rFonts w:ascii="黑体" w:hAnsi="黑体" w:cs="黑体" w:hint="eastAsia" w:eastAsia="仿宋_GB2312"/>
          <w:sz w:val="32"/>
          <w:szCs w:val="32"/>
        </w:rPr>
        <w:t>　</w:t>
      </w:r>
      <w:r>
        <w:rPr>
          <w:rFonts w:ascii="仿宋" w:hAnsi="仿宋" w:cs="仿宋" w:hint="eastAsia" w:eastAsia="仿宋_GB2312"/>
          <w:sz w:val="32"/>
          <w:szCs w:val="32"/>
        </w:rPr>
        <w:t>市人民政府成立金融发展委员会，统筹金融发展促进工作，优化金融发展环境，提升金融决策的科学性和前瞻性。</w:t>
      </w:r>
    </w:p>
    <w:p>
      <w:pPr>
        <w:pStyle w:val="3"/>
        <w:spacing w:lineRule="exact" w:line="560"/>
        <w:rPr>
          <w:rFonts w:cs="仿宋"/>
          <w:szCs w:val="32"/>
        </w:rPr>
      </w:pPr>
      <w:r>
        <w:rPr>
          <w:rFonts w:cs="仿宋"/>
          <w:szCs w:val="32"/>
        </w:rPr>
        <w:t>金融发展委员会由市长任主任，分管副市长任副主任，监管机构、深交所、财政、税务、审计、国有资产管理和市政府金融工作部门等单位主要负责人为成员。</w:t>
      </w:r>
    </w:p>
    <w:p>
      <w:pPr>
        <w:pStyle w:val="3"/>
        <w:spacing w:lineRule="exact" w:line="560"/>
        <w:rPr>
          <w:rFonts w:cs="仿宋"/>
          <w:szCs w:val="32"/>
        </w:rPr>
      </w:pPr>
      <w:r>
        <w:rPr>
          <w:rFonts w:cs="仿宋"/>
          <w:szCs w:val="32"/>
        </w:rPr>
        <w:t>金融发展委员会下设金融发展决策咨询委员会，定期召开联席会议。</w:t>
      </w:r>
    </w:p>
    <w:p>
      <w:pPr>
        <w:pStyle w:val="3"/>
        <w:spacing w:lineRule="exact" w:line="560"/>
        <w:rPr>
          <w:rFonts w:cs="仿宋"/>
          <w:szCs w:val="32"/>
        </w:rPr>
      </w:pPr>
      <w:r>
        <w:rPr>
          <w:rFonts w:cs="仿宋"/>
          <w:szCs w:val="32"/>
        </w:rPr>
        <w:t>市政府金融工作部门负责金融发展委员会的日常工作。金融发展决策咨询委员会的组成及职责由市人民政府规定。</w:t>
      </w:r>
    </w:p>
    <w:p>
      <w:pPr>
        <w:pStyle w:val="Normal"/>
        <w:spacing w:lineRule="exact" w:line="56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第四十六条　</w:t>
      </w:r>
      <w:r>
        <w:rPr>
          <w:rFonts w:ascii="仿宋" w:hAnsi="仿宋" w:cs="仿宋" w:hint="eastAsia" w:eastAsia="仿宋_GB2312"/>
          <w:sz w:val="32"/>
          <w:szCs w:val="32"/>
        </w:rPr>
        <w:t>金融发展委员会的主要职责是：</w:t>
      </w:r>
    </w:p>
    <w:p>
      <w:pPr>
        <w:pStyle w:val="BodyTextIndent"/>
        <w:spacing w:lineRule="exact" w:line="560"/>
        <w:ind w:endChars="0" w:end="0"/>
        <w:rPr>
          <w:rFonts w:ascii="仿宋" w:hAnsi="仿宋" w:cs="仿宋" w:hint="eastAsia"/>
          <w:sz w:val="32"/>
          <w:szCs w:val="32"/>
        </w:rPr>
      </w:pPr>
      <w:r>
        <w:rPr>
          <w:rFonts w:ascii="仿宋" w:hAnsi="仿宋" w:cs="仿宋" w:hint="eastAsia"/>
          <w:sz w:val="32"/>
          <w:szCs w:val="32"/>
        </w:rPr>
        <w:t>（一）把深圳金融中心城市建设列入经济社会发展的重要目标，建立金融发展工作协调机制，制定可考核、可问责的金融发展规划和工作计划；</w:t>
      </w:r>
    </w:p>
    <w:p>
      <w:pPr>
        <w:pStyle w:val="BodyTextIndent"/>
        <w:spacing w:lineRule="exact" w:line="560"/>
        <w:ind w:endChars="0" w:end="0"/>
        <w:rPr>
          <w:rFonts w:ascii="仿宋" w:hAnsi="仿宋" w:cs="仿宋" w:hint="eastAsia"/>
          <w:sz w:val="32"/>
          <w:szCs w:val="32"/>
        </w:rPr>
      </w:pPr>
      <w:r>
        <w:rPr>
          <w:rFonts w:ascii="仿宋" w:hAnsi="仿宋" w:cs="仿宋" w:hint="eastAsia"/>
          <w:sz w:val="32"/>
          <w:szCs w:val="32"/>
        </w:rPr>
        <w:t>（二）整合财政、经营性国有资产、政府负债及其他公共资源，</w:t>
      </w:r>
      <w:r>
        <w:rPr>
          <w:rFonts w:ascii="黑体" w:hAnsi="黑体" w:cs="仿宋" w:hint="eastAsia"/>
          <w:sz w:val="32"/>
          <w:szCs w:val="32"/>
        </w:rPr>
        <w:t>发挥</w:t>
      </w:r>
      <w:r>
        <w:rPr>
          <w:rFonts w:ascii="仿宋_GB2312" w:hAnsi="仿宋_GB2312" w:cs="仿宋" w:hint="eastAsia"/>
          <w:sz w:val="32"/>
          <w:szCs w:val="32"/>
        </w:rPr>
        <w:t>财政部门在金融发展策略制定与资源配置中的积极作用；</w:t>
      </w:r>
    </w:p>
    <w:p>
      <w:pPr>
        <w:pStyle w:val="BodyTextIndent"/>
        <w:spacing w:lineRule="exact" w:line="560"/>
        <w:ind w:endChars="0" w:end="0"/>
        <w:rPr>
          <w:rFonts w:ascii="仿宋_GB2312" w:hAnsi="仿宋_GB2312" w:cs="仿宋" w:hint="eastAsia"/>
          <w:sz w:val="32"/>
          <w:szCs w:val="32"/>
        </w:rPr>
      </w:pPr>
      <w:r>
        <w:rPr>
          <w:rFonts w:ascii="仿宋_GB2312" w:hAnsi="仿宋_GB2312" w:cs="仿宋" w:hint="eastAsia"/>
          <w:sz w:val="32"/>
          <w:szCs w:val="32"/>
        </w:rPr>
        <w:t>（三）构建综合金融风险控制管理体系，建立符合金融发展要求的金融业风险处置专项资金；</w:t>
      </w:r>
    </w:p>
    <w:p>
      <w:pPr>
        <w:pStyle w:val="BodyTextIndent"/>
        <w:spacing w:lineRule="exact" w:line="560"/>
        <w:ind w:endChars="0" w:end="0"/>
        <w:rPr>
          <w:rFonts w:ascii="仿宋_GB2312" w:hAnsi="仿宋_GB2312" w:cs="仿宋" w:hint="eastAsia"/>
          <w:sz w:val="32"/>
          <w:szCs w:val="32"/>
        </w:rPr>
      </w:pPr>
      <w:r>
        <w:rPr>
          <w:rFonts w:ascii="仿宋_GB2312" w:hAnsi="仿宋_GB2312" w:cs="仿宋" w:hint="eastAsia"/>
          <w:sz w:val="32"/>
          <w:szCs w:val="32"/>
        </w:rPr>
        <w:t>（四）建立深圳金融发展促进评估体系，引入国内外权威评价机构对深圳金融生态环境进行定期评估。</w:t>
      </w:r>
    </w:p>
    <w:p>
      <w:pPr>
        <w:pStyle w:val="BodyTextIndent"/>
        <w:spacing w:lineRule="exact" w:line="560"/>
        <w:ind w:endChars="0" w:end="0"/>
        <w:rPr>
          <w:rFonts w:ascii="仿宋_GB2312" w:hAnsi="仿宋_GB2312" w:cs="仿宋" w:hint="eastAsia"/>
          <w:sz w:val="32"/>
          <w:szCs w:val="32"/>
        </w:rPr>
      </w:pPr>
      <w:r>
        <w:rPr>
          <w:rFonts w:ascii="仿宋_GB2312" w:hAnsi="仿宋_GB2312" w:cs="仿宋" w:hint="eastAsia"/>
          <w:sz w:val="32"/>
          <w:szCs w:val="32"/>
        </w:rPr>
        <w:t>金融发展委员会的具体职责和运作办法由市人民政府规定。</w:t>
      </w:r>
    </w:p>
    <w:p>
      <w:pPr>
        <w:pStyle w:val="Normal"/>
        <w:numPr>
          <w:ilvl w:val="0"/>
          <w:numId w:val="0"/>
        </w:numPr>
        <w:spacing w:lineRule="exact" w:line="560"/>
        <w:jc w:val="center"/>
        <w:outlineLvl w:val="0"/>
        <w:rPr>
          <w:rFonts w:ascii="仿宋" w:hAnsi="仿宋" w:eastAsia="仿宋" w:cs="仿宋" w:hint="eastAsia"/>
          <w:bCs/>
          <w:sz w:val="32"/>
          <w:szCs w:val="32"/>
        </w:rPr>
      </w:pPr>
      <w:r>
        <w:rPr>
          <w:rFonts w:eastAsia="仿宋" w:cs="仿宋" w:hint="eastAsia" w:ascii="仿宋" w:hAnsi="仿宋"/>
          <w:bCs/>
          <w:sz w:val="32"/>
          <w:szCs w:val="32"/>
        </w:rPr>
      </w:r>
    </w:p>
    <w:p>
      <w:pPr>
        <w:pStyle w:val="Normal"/>
        <w:numPr>
          <w:ilvl w:val="0"/>
          <w:numId w:val="0"/>
        </w:numPr>
        <w:spacing w:lineRule="exact" w:line="560"/>
        <w:jc w:val="center"/>
        <w:outlineLvl w:val="0"/>
        <w:rPr>
          <w:rFonts w:ascii="黑体" w:hAnsi="黑体" w:eastAsia="黑体" w:cs="黑体" w:hint="eastAsia"/>
          <w:bCs/>
          <w:sz w:val="32"/>
          <w:szCs w:val="32"/>
        </w:rPr>
      </w:pPr>
      <w:r>
        <w:rPr>
          <w:rFonts w:ascii="黑体" w:hAnsi="黑体" w:cs="黑体" w:hint="eastAsia" w:eastAsia="黑体"/>
          <w:bCs/>
          <w:sz w:val="32"/>
          <w:szCs w:val="32"/>
        </w:rPr>
        <w:t>第九章 监督检查</w:t>
      </w:r>
    </w:p>
    <w:p>
      <w:pPr>
        <w:pStyle w:val="Normal"/>
        <w:numPr>
          <w:ilvl w:val="0"/>
          <w:numId w:val="0"/>
        </w:numPr>
        <w:spacing w:lineRule="exact" w:line="560"/>
        <w:jc w:val="center"/>
        <w:outlineLvl w:val="0"/>
        <w:rPr>
          <w:rFonts w:ascii="仿宋" w:hAnsi="仿宋" w:eastAsia="仿宋" w:cs="仿宋" w:hint="eastAsia"/>
          <w:bCs/>
          <w:sz w:val="32"/>
          <w:szCs w:val="32"/>
        </w:rPr>
      </w:pPr>
      <w:r>
        <w:rPr>
          <w:rFonts w:eastAsia="仿宋" w:cs="仿宋" w:hint="eastAsia" w:ascii="仿宋" w:hAnsi="仿宋"/>
          <w:bCs/>
          <w:sz w:val="32"/>
          <w:szCs w:val="32"/>
        </w:rPr>
      </w:r>
    </w:p>
    <w:p>
      <w:pPr>
        <w:pStyle w:val="Normal"/>
        <w:spacing w:lineRule="exact" w:line="56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第四十</w:t>
      </w:r>
      <w:r>
        <w:rPr>
          <w:rFonts w:ascii="黑体" w:hAnsi="黑体" w:cs="黑体" w:hint="eastAsia" w:eastAsia="黑体"/>
          <w:iCs/>
          <w:sz w:val="32"/>
          <w:szCs w:val="32"/>
        </w:rPr>
        <w:t>七</w:t>
      </w:r>
      <w:r>
        <w:rPr>
          <w:rFonts w:ascii="黑体" w:hAnsi="黑体" w:cs="黑体" w:hint="eastAsia" w:eastAsia="黑体"/>
          <w:sz w:val="32"/>
          <w:szCs w:val="32"/>
        </w:rPr>
        <w:t>条　</w:t>
      </w:r>
      <w:r>
        <w:rPr>
          <w:rFonts w:ascii="仿宋" w:hAnsi="仿宋" w:cs="仿宋" w:hint="eastAsia" w:eastAsia="仿宋_GB2312"/>
          <w:sz w:val="32"/>
          <w:szCs w:val="32"/>
        </w:rPr>
        <w:t>市人民政府应当定期对金融业发展促进工作进行评估，并向市人大常委会报告，接受市人大常委会监督。</w:t>
      </w:r>
    </w:p>
    <w:p>
      <w:pPr>
        <w:pStyle w:val="Normal"/>
        <w:spacing w:lineRule="exact" w:line="56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第四十八条　</w:t>
      </w:r>
      <w:r>
        <w:rPr>
          <w:rFonts w:ascii="仿宋" w:hAnsi="仿宋" w:cs="仿宋" w:hint="eastAsia" w:eastAsia="仿宋_GB2312"/>
          <w:sz w:val="32"/>
          <w:szCs w:val="32"/>
        </w:rPr>
        <w:t>市财政部门和审计部门应当依法对金融发展的各专项资金的落实及使用效果进行财政监督和审计监督。</w:t>
      </w:r>
    </w:p>
    <w:p>
      <w:pPr>
        <w:pStyle w:val="Normal"/>
        <w:numPr>
          <w:ilvl w:val="0"/>
          <w:numId w:val="0"/>
        </w:numPr>
        <w:spacing w:lineRule="exact" w:line="560"/>
        <w:jc w:val="center"/>
        <w:outlineLvl w:val="0"/>
        <w:rPr>
          <w:rFonts w:ascii="黑体" w:hAnsi="黑体" w:eastAsia="黑体" w:cs="黑体" w:hint="eastAsia"/>
          <w:bCs/>
          <w:sz w:val="32"/>
          <w:szCs w:val="32"/>
        </w:rPr>
      </w:pPr>
      <w:r>
        <w:rPr>
          <w:rFonts w:eastAsia="黑体" w:cs="黑体" w:hint="eastAsia" w:ascii="黑体" w:hAnsi="黑体"/>
          <w:bCs/>
          <w:sz w:val="32"/>
          <w:szCs w:val="32"/>
        </w:rPr>
      </w:r>
    </w:p>
    <w:p>
      <w:pPr>
        <w:pStyle w:val="Normal"/>
        <w:numPr>
          <w:ilvl w:val="0"/>
          <w:numId w:val="0"/>
        </w:numPr>
        <w:spacing w:lineRule="exact" w:line="560"/>
        <w:jc w:val="center"/>
        <w:outlineLvl w:val="0"/>
        <w:rPr>
          <w:rFonts w:ascii="黑体" w:hAnsi="黑体" w:eastAsia="黑体" w:cs="黑体" w:hint="eastAsia"/>
          <w:bCs/>
          <w:sz w:val="32"/>
          <w:szCs w:val="32"/>
        </w:rPr>
      </w:pPr>
      <w:r>
        <w:rPr>
          <w:rFonts w:ascii="黑体" w:hAnsi="黑体" w:cs="黑体" w:hint="eastAsia" w:eastAsia="黑体"/>
          <w:bCs/>
          <w:sz w:val="32"/>
          <w:szCs w:val="32"/>
        </w:rPr>
        <w:t>第十章  附则</w:t>
      </w:r>
    </w:p>
    <w:p>
      <w:pPr>
        <w:pStyle w:val="Normal"/>
        <w:numPr>
          <w:ilvl w:val="0"/>
          <w:numId w:val="0"/>
        </w:numPr>
        <w:spacing w:lineRule="exact" w:line="560"/>
        <w:jc w:val="center"/>
        <w:outlineLvl w:val="0"/>
        <w:rPr>
          <w:rFonts w:ascii="仿宋" w:hAnsi="仿宋" w:eastAsia="仿宋" w:cs="仿宋" w:hint="eastAsia"/>
          <w:bCs/>
          <w:sz w:val="32"/>
          <w:szCs w:val="32"/>
        </w:rPr>
      </w:pPr>
      <w:r>
        <w:rPr>
          <w:rFonts w:eastAsia="仿宋" w:cs="仿宋" w:hint="eastAsia" w:ascii="仿宋" w:hAnsi="仿宋"/>
          <w:bCs/>
          <w:sz w:val="32"/>
          <w:szCs w:val="32"/>
        </w:rPr>
      </w:r>
    </w:p>
    <w:p>
      <w:pPr>
        <w:pStyle w:val="Normal"/>
        <w:spacing w:lineRule="exact" w:line="56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第四十九条</w:t>
      </w:r>
      <w:r>
        <w:rPr>
          <w:rFonts w:ascii="仿宋_GB2312" w:hAnsi="仿宋_GB2312" w:cs="黑体" w:hint="eastAsia" w:eastAsia="仿宋_GB2312"/>
          <w:sz w:val="32"/>
          <w:szCs w:val="32"/>
        </w:rPr>
        <w:t>　</w:t>
      </w:r>
      <w:r>
        <w:rPr>
          <w:rFonts w:ascii="仿宋_GB2312" w:hAnsi="仿宋_GB2312" w:cs="仿宋" w:hint="eastAsia" w:eastAsia="仿宋_GB2312"/>
          <w:sz w:val="32"/>
          <w:szCs w:val="32"/>
        </w:rPr>
        <w:t>市人民政府及其相关部门应当根据</w:t>
      </w:r>
      <w:r>
        <w:rPr>
          <w:rFonts w:ascii="黑体" w:hAnsi="黑体" w:cs="黑体" w:hint="eastAsia" w:eastAsia="仿宋_GB2312"/>
          <w:sz w:val="32"/>
          <w:szCs w:val="32"/>
        </w:rPr>
        <w:t>本条例实施的实际需要及时</w:t>
      </w:r>
      <w:r>
        <w:rPr>
          <w:rFonts w:ascii="仿宋" w:hAnsi="仿宋" w:cs="仿宋" w:hint="eastAsia" w:eastAsia="仿宋_GB2312"/>
          <w:sz w:val="32"/>
          <w:szCs w:val="32"/>
        </w:rPr>
        <w:t>制定促进金融发展的各项优惠政策及具体办法。</w:t>
      </w:r>
    </w:p>
    <w:p>
      <w:pPr>
        <w:pStyle w:val="Normal"/>
        <w:spacing w:lineRule="exact" w:line="560"/>
        <w:ind w:firstLineChars="200" w:startChars="0" w:start="0" w:endChars="0" w:end="0"/>
        <w:rPr/>
      </w:pPr>
      <w:r>
        <w:rPr>
          <w:rFonts w:ascii="黑体" w:hAnsi="黑体" w:cs="黑体" w:hint="eastAsia" w:eastAsia="黑体"/>
          <w:sz w:val="32"/>
          <w:szCs w:val="32"/>
        </w:rPr>
        <w:t>第五十条</w:t>
      </w:r>
      <w:r>
        <w:rPr>
          <w:rFonts w:ascii="黑体" w:hAnsi="黑体" w:cs="黑体" w:hint="eastAsia" w:eastAsia="仿宋_GB2312"/>
          <w:sz w:val="32"/>
          <w:szCs w:val="32"/>
        </w:rPr>
        <w:t>　</w:t>
      </w:r>
      <w:r>
        <w:rPr>
          <w:rFonts w:ascii="仿宋" w:hAnsi="仿宋" w:cs="仿宋" w:hint="eastAsia" w:eastAsia="仿宋_GB2312"/>
          <w:sz w:val="32"/>
          <w:szCs w:val="32"/>
        </w:rPr>
        <w:t>本条例自</w:t>
      </w:r>
      <w:r>
        <w:rPr>
          <w:rFonts w:eastAsia="仿宋_GB2312" w:cs="仿宋" w:hint="eastAsia" w:ascii="仿宋" w:hAnsi="仿宋"/>
          <w:sz w:val="32"/>
          <w:szCs w:val="32"/>
        </w:rPr>
        <w:t>2008</w:t>
      </w:r>
      <w:r>
        <w:rPr>
          <w:rFonts w:ascii="仿宋" w:hAnsi="仿宋" w:cs="仿宋" w:hint="eastAsia" w:eastAsia="仿宋_GB2312"/>
          <w:sz w:val="32"/>
          <w:szCs w:val="32"/>
        </w:rPr>
        <w:t>年</w:t>
      </w:r>
      <w:r>
        <w:rPr>
          <w:rFonts w:eastAsia="仿宋_GB2312" w:cs="仿宋" w:hint="eastAsia" w:ascii="仿宋" w:hAnsi="仿宋"/>
          <w:sz w:val="32"/>
          <w:szCs w:val="32"/>
        </w:rPr>
        <w:t>6</w:t>
      </w:r>
      <w:r>
        <w:rPr>
          <w:rFonts w:ascii="仿宋" w:hAnsi="仿宋" w:cs="仿宋" w:hint="eastAsia" w:eastAsia="仿宋_GB2312"/>
          <w:sz w:val="32"/>
          <w:szCs w:val="32"/>
        </w:rPr>
        <w:t>月</w:t>
      </w:r>
      <w:r>
        <w:rPr>
          <w:rFonts w:eastAsia="仿宋_GB2312" w:cs="仿宋" w:hint="eastAsia" w:ascii="仿宋" w:hAnsi="仿宋"/>
          <w:sz w:val="32"/>
          <w:szCs w:val="32"/>
        </w:rPr>
        <w:t>1</w:t>
      </w:r>
      <w:r>
        <w:rPr>
          <w:rFonts w:ascii="仿宋" w:hAnsi="仿宋" w:cs="仿宋" w:hint="eastAsia" w:eastAsia="仿宋_GB2312"/>
          <w:sz w:val="32"/>
          <w:szCs w:val="32"/>
        </w:rPr>
        <w:t>日起施行。</w:t>
      </w:r>
    </w:p>
    <w:sectPr>
      <w:footerReference w:type="default" r:id="rId2"/>
      <w:type w:val="nextPage"/>
      <w:pgSz w:w="11906" w:h="16838"/>
      <w:pgMar w:left="1814" w:right="1814" w:gutter="0" w:header="0" w:top="1814" w:footer="1814" w:bottom="187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5" behindDoc="1" locked="0" layoutInCell="0" allowOverlap="1">
              <wp:simplePos x="0" y="0"/>
              <wp:positionH relativeFrom="margin">
                <wp:align>center</wp:align>
              </wp:positionH>
              <wp:positionV relativeFrom="paragraph">
                <wp:posOffset>635</wp:posOffset>
              </wp:positionV>
              <wp:extent cx="15875" cy="205740"/>
              <wp:effectExtent l="0" t="0" r="0" b="0"/>
              <wp:wrapNone/>
              <wp:docPr id="1" name="Frame2"/>
              <a:graphic xmlns:a="http://schemas.openxmlformats.org/drawingml/2006/main">
                <a:graphicData uri="http://schemas.microsoft.com/office/word/2010/wordprocessingShape">
                  <wps:wsp>
                    <wps:cNvSpPr txBox="1"/>
                    <wps:spPr>
                      <a:xfrm>
                        <a:off x="0" y="0"/>
                        <a:ext cx="15875" cy="205740"/>
                      </a:xfrm>
                      <a:prstGeom prst="rect"/>
                      <a:solidFill>
                        <a:srgbClr val="FFFFFF">
                          <a:alpha val="0"/>
                        </a:srgbClr>
                      </a:solidFill>
                    </wps:spPr>
                    <wps:txbx>
                      <w:txbxContent>
                        <w:p>
                          <w:pPr>
                            <w:pStyle w:val="Footer"/>
                            <w:ind w:firstLineChars="0" w:firstLine="0" w:startChars="100" w:endChars="100"/>
                            <w:rPr>
                              <w:rStyle w:val="PageNumber"/>
                              <w:sz w:val="28"/>
                              <w:szCs w:val="28"/>
                            </w:rPr>
                          </w:pPr>
                          <w:r>
                            <w:rPr/>
                          </w:r>
                        </w:p>
                      </w:txbxContent>
                    </wps:txbx>
                    <wps:bodyPr anchor="t" lIns="635" tIns="635" rIns="635" bIns="635">
                      <a:spAutoFit/>
                    </wps:bodyPr>
                  </wps:wsp>
                </a:graphicData>
              </a:graphic>
            </wp:anchor>
          </w:drawing>
        </mc:Choice>
        <mc:Fallback>
          <w:pict>
            <v:rect fillcolor="#FFFFFF" style="position:absolute;rotation:-0;width:1.25pt;height:16.2pt;mso-wrap-distance-left:9.05pt;mso-wrap-distance-right:9.05pt;mso-wrap-distance-top:0pt;mso-wrap-distance-bottom:0pt;margin-top:0pt;mso-position-vertical-relative:text;margin-left:206.35pt;mso-position-horizontal:center;mso-position-horizontal-relative:margin">
              <v:fill opacity="0f"/>
              <v:textbox inset="0.000694444444444445in,0.000694444444444445in,0.000694444444444445in,0.000694444444444445in">
                <w:txbxContent>
                  <w:p>
                    <w:pPr>
                      <w:pStyle w:val="Footer"/>
                      <w:ind w:firstLineChars="0" w:firstLine="0" w:startChars="100" w:endChars="100"/>
                      <w:rPr>
                        <w:rStyle w:val="PageNumber"/>
                        <w:sz w:val="28"/>
                        <w:szCs w:val="28"/>
                      </w:rPr>
                    </w:pPr>
                    <w:r>
                      <w:rPr/>
                    </w:r>
                  </w:p>
                </w:txbxContent>
              </v:textbox>
              <w10:wrap type="none"/>
            </v:rect>
          </w:pict>
        </mc:Fallback>
      </mc:AlternateContent>
    </w:r>
    <w:r>
      <mc:AlternateContent>
        <mc:Choice Requires="wps">
          <w:drawing>
            <wp:anchor distT="0" distB="0" distL="114935" distR="0" simplePos="0" relativeHeight="29" behindDoc="1" locked="0" layoutInCell="0" allowOverlap="1">
              <wp:simplePos x="0" y="0"/>
              <wp:positionH relativeFrom="margin">
                <wp:align>outside</wp:align>
              </wp:positionH>
              <wp:positionV relativeFrom="paragraph">
                <wp:posOffset>635</wp:posOffset>
              </wp:positionV>
              <wp:extent cx="199390" cy="303530"/>
              <wp:effectExtent l="0" t="0" r="0" b="0"/>
              <wp:wrapNone/>
              <wp:docPr id="2"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6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auto" w:line="360"/>
      <w:ind w:firstLineChars="200" w:startChars="0" w:start="0" w:endChars="0" w:end="0"/>
    </w:pPr>
    <w:rPr>
      <w:rFonts w:eastAsia="仿宋_GB2312"/>
      <w:sz w:val="24"/>
      <w:szCs w:val="2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3">
    <w:name w:val="正文文本缩进 3"/>
    <w:basedOn w:val="Normal"/>
    <w:qFormat/>
    <w:pPr>
      <w:spacing w:lineRule="atLeast" w:line="440"/>
      <w:ind w:firstLineChars="200" w:startChars="0" w:start="0" w:endChars="0" w:end="0"/>
    </w:pPr>
    <w:rPr>
      <w:rFonts w:ascii="仿宋_GB2312" w:hAnsi="仿宋_GB2312" w:eastAsia="仿宋_GB2312" w:hint="eastAsia"/>
      <w:sz w:val="32"/>
    </w:rPr>
  </w:style>
  <w:style w:type="paragraph" w:styleId="Style15">
    <w:name w:val="批注文字"/>
    <w:basedOn w:val="Normal"/>
    <w:qFormat/>
    <w:pPr>
      <w:jc w:val="start"/>
    </w:pPr>
    <w:rPr/>
  </w:style>
  <w:style w:type="paragraph" w:styleId="Default">
    <w:name w:val="Default"/>
    <w:qFormat/>
    <w:pPr>
      <w:widowControl w:val="false"/>
      <w:autoSpaceDE w:val="false"/>
      <w:bidi w:val="0"/>
    </w:pPr>
    <w:rPr>
      <w:rFonts w:ascii="宋体" w:hAnsi="宋体" w:eastAsia="宋体" w:cs="Times New Roman" w:hint="eastAsia"/>
      <w:color w:val="000000"/>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2008-04-02T10:22:00Z</dcterms:created>
  <dc:creator>zhangpeng</dc:creator>
  <dc:description/>
  <dc:language>en-US</dc:language>
  <cp:lastModifiedBy>chang</cp:lastModifiedBy>
  <cp:lastPrinted>2019-04-26T12:23:00Z</cp:lastPrinted>
  <dcterms:modified xsi:type="dcterms:W3CDTF">2019-05-16T10:32:01Z</dcterms:modified>
  <cp:revision>5</cp:revision>
  <dc:subject/>
  <dc:title>深圳经济特区金融发展促进条例（草案）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