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90"/>
        <w:ind w:firstLineChars="0" w:firstLine="0" w:startChars="0" w:start="0" w:endChars="0" w:end="0"/>
        <w:rPr>
          <w:rFonts w:ascii="宋体" w:hAnsi="宋体" w:eastAsia="仿宋_GB2312" w:hint="eastAsia"/>
          <w:color w:val="000000"/>
          <w:sz w:val="32"/>
          <w:szCs w:val="32"/>
        </w:rPr>
      </w:pPr>
      <w:r>
        <w:rPr>
          <w:rFonts w:eastAsia="仿宋_GB2312" w:hint="eastAsia" w:ascii="宋体" w:hAnsi="宋体"/>
          <w:color w:val="000000"/>
          <w:sz w:val="32"/>
          <w:szCs w:val="32"/>
        </w:rPr>
      </w:r>
    </w:p>
    <w:p>
      <w:pPr>
        <w:pStyle w:val="Normal"/>
        <w:spacing w:lineRule="exact" w:line="590"/>
        <w:ind w:firstLineChars="168" w:startChars="0" w:start="0" w:endChars="0" w:end="0"/>
        <w:rPr>
          <w:rFonts w:ascii="宋体" w:hAnsi="宋体" w:eastAsia="仿宋_GB2312" w:cs="宋体" w:hint="eastAsia"/>
          <w:color w:val="000000"/>
          <w:sz w:val="32"/>
          <w:szCs w:val="32"/>
        </w:rPr>
      </w:pPr>
      <w:r>
        <w:rPr>
          <w:rFonts w:eastAsia="仿宋_GB2312" w:cs="宋体" w:hint="eastAsia" w:ascii="宋体" w:hAnsi="宋体"/>
          <w:color w:val="000000"/>
          <w:sz w:val="32"/>
          <w:szCs w:val="32"/>
        </w:rPr>
      </w:r>
    </w:p>
    <w:p>
      <w:pPr>
        <w:pStyle w:val="Style15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exact" w:line="590"/>
        <w:ind w:firstLineChars="0" w:firstLine="0" w:endChars="0" w:end="0"/>
        <w:jc w:val="both"/>
        <w:textAlignment w:val="auto"/>
        <w:rPr>
          <w:rFonts w:ascii="宋体" w:hAnsi="宋体" w:eastAsia="宋体" w:cs="宋体" w:hint="eastAsia"/>
          <w:b w:val="false"/>
          <w:bCs/>
          <w:spacing w:val="17"/>
          <w:sz w:val="44"/>
          <w:szCs w:val="44"/>
          <w:highlight w:val="none"/>
        </w:rPr>
      </w:pPr>
      <w:r>
        <w:rPr>
          <w:rFonts w:eastAsia="宋体" w:cs="宋体" w:hint="eastAsia" w:ascii="宋体" w:hAnsi="宋体"/>
          <w:b w:val="false"/>
          <w:bCs/>
          <w:spacing w:val="17"/>
          <w:sz w:val="44"/>
          <w:szCs w:val="44"/>
        </w:rPr>
      </w:r>
    </w:p>
    <w:p>
      <w:pPr>
        <w:pStyle w:val="Normal"/>
        <w:snapToGrid w:val="false"/>
        <w:spacing w:lineRule="exact" w:line="590"/>
        <w:jc w:val="center"/>
        <w:rPr>
          <w:rFonts w:ascii="宋体" w:hAnsi="宋体" w:eastAsia="宋体" w:cs="宋体" w:hint="eastAsia"/>
          <w:b w:val="false"/>
          <w:bCs/>
          <w:spacing w:val="-17"/>
          <w:sz w:val="44"/>
          <w:szCs w:val="44"/>
          <w:highlight w:val="none"/>
        </w:rPr>
      </w:pPr>
      <w:r>
        <w:rPr>
          <w:rFonts w:ascii="宋体" w:hAnsi="宋体" w:cs="宋体" w:hint="eastAsia" w:eastAsia="宋体"/>
          <w:b w:val="false"/>
          <w:bCs/>
          <w:spacing w:val="-17"/>
          <w:sz w:val="44"/>
          <w:szCs w:val="44"/>
        </w:rPr>
        <w:t>湛江市人民代表大会常务委员会关于修改</w:t>
      </w:r>
    </w:p>
    <w:p>
      <w:pPr>
        <w:pStyle w:val="Normal"/>
        <w:snapToGrid w:val="false"/>
        <w:spacing w:lineRule="exact" w:line="590"/>
        <w:jc w:val="center"/>
        <w:rPr>
          <w:rFonts w:ascii="宋体" w:hAnsi="宋体" w:eastAsia="宋体" w:cs="宋体" w:hint="eastAsia"/>
          <w:b w:val="false"/>
          <w:bCs/>
          <w:spacing w:val="-17"/>
          <w:sz w:val="44"/>
          <w:szCs w:val="44"/>
          <w:highlight w:val="none"/>
        </w:rPr>
      </w:pPr>
      <w:r>
        <w:rPr>
          <w:rFonts w:ascii="宋体" w:hAnsi="宋体" w:cs="宋体" w:hint="eastAsia" w:eastAsia="宋体"/>
          <w:b w:val="false"/>
          <w:bCs/>
          <w:spacing w:val="-17"/>
          <w:sz w:val="44"/>
          <w:szCs w:val="44"/>
        </w:rPr>
        <w:t>《湛江市历史建筑保护条例》的决定</w:t>
      </w:r>
    </w:p>
    <w:p>
      <w:pPr>
        <w:pStyle w:val="Style15"/>
        <w:rPr>
          <w:rFonts w:ascii="宋体" w:hAnsi="宋体" w:eastAsia="宋体" w:cs="宋体" w:hint="eastAsia"/>
          <w:b w:val="false"/>
          <w:bCs/>
          <w:spacing w:val="-17"/>
          <w:sz w:val="44"/>
          <w:szCs w:val="44"/>
          <w:highlight w:val="none"/>
        </w:rPr>
      </w:pPr>
      <w:r>
        <w:rPr>
          <w:rFonts w:eastAsia="宋体" w:cs="宋体" w:hint="eastAsia" w:ascii="宋体" w:hAnsi="宋体"/>
          <w:b w:val="false"/>
          <w:bCs/>
          <w:spacing w:val="-17"/>
          <w:sz w:val="44"/>
          <w:szCs w:val="44"/>
        </w:rPr>
      </w:r>
    </w:p>
    <w:p>
      <w:pPr>
        <w:pStyle w:val="Normal"/>
        <w:spacing w:lineRule="exact" w:line="590"/>
        <w:ind w:firstLineChars="200" w:startChars="0" w:start="0" w:endChars="0" w:end="0"/>
        <w:jc w:val="start"/>
        <w:rPr>
          <w:rFonts w:eastAsia="楷体_GB2312"/>
          <w:sz w:val="32"/>
          <w:szCs w:val="32"/>
        </w:rPr>
      </w:pPr>
      <w:r>
        <w:rPr>
          <w:rFonts w:ascii="Times New Roman" w:hAnsi="Times New Roman" w:cs="Times New Roman" w:eastAsia="楷体_GB2312"/>
          <w:sz w:val="32"/>
          <w:szCs w:val="32"/>
        </w:rPr>
        <w:t>（</w:t>
      </w:r>
      <w:r>
        <w:rPr>
          <w:rFonts w:eastAsia="宋体" w:cs="宋体" w:hint="eastAsia" w:ascii="宋体" w:hAnsi="宋体"/>
          <w:sz w:val="32"/>
          <w:szCs w:val="32"/>
        </w:rPr>
        <w:t>2021</w:t>
      </w:r>
      <w:r>
        <w:rPr>
          <w:rFonts w:ascii="Times New Roman" w:hAnsi="Times New Roman" w:cs="Times New Roman" w:eastAsia="楷体_GB2312"/>
          <w:sz w:val="32"/>
          <w:szCs w:val="32"/>
        </w:rPr>
        <w:t>年</w:t>
      </w:r>
      <w:r>
        <w:rPr>
          <w:rFonts w:eastAsia="宋体" w:cs="宋体" w:hint="eastAsia" w:ascii="宋体" w:hAnsi="宋体"/>
          <w:sz w:val="32"/>
          <w:szCs w:val="32"/>
        </w:rPr>
        <w:t>8</w:t>
      </w:r>
      <w:r>
        <w:rPr>
          <w:rFonts w:ascii="Times New Roman" w:hAnsi="Times New Roman" w:cs="Times New Roman" w:eastAsia="楷体_GB2312"/>
          <w:sz w:val="32"/>
          <w:szCs w:val="32"/>
        </w:rPr>
        <w:t>月</w:t>
      </w:r>
      <w:r>
        <w:rPr>
          <w:rFonts w:eastAsia="宋体" w:cs="宋体" w:hint="eastAsia" w:ascii="宋体" w:hAnsi="宋体"/>
          <w:sz w:val="32"/>
          <w:szCs w:val="32"/>
        </w:rPr>
        <w:t>27</w:t>
      </w:r>
      <w:r>
        <w:rPr>
          <w:rFonts w:ascii="Times New Roman" w:hAnsi="Times New Roman" w:cs="Times New Roman" w:eastAsia="楷体_GB2312"/>
          <w:sz w:val="32"/>
          <w:szCs w:val="32"/>
        </w:rPr>
        <w:t>日湛江市第十四届人民代表大会常务委员会</w:t>
      </w:r>
      <w:r>
        <w:rPr>
          <w:rFonts w:ascii="Times New Roman" w:hAnsi="Times New Roman" w:cs="Times New Roman" w:hint="eastAsia" w:eastAsia="楷体_GB2312"/>
          <w:sz w:val="32"/>
          <w:szCs w:val="32"/>
        </w:rPr>
        <w:t>第</w:t>
      </w:r>
      <w:r>
        <w:rPr>
          <w:rFonts w:ascii="Times New Roman" w:hAnsi="Times New Roman" w:cs="Times New Roman" w:eastAsia="楷体_GB2312"/>
          <w:sz w:val="32"/>
          <w:szCs w:val="32"/>
        </w:rPr>
        <w:t>五十次会议通过</w:t>
      </w:r>
      <w:r>
        <w:rPr>
          <w:rFonts w:ascii="Times New Roman" w:hAnsi="Times New Roman" w:cs="Times New Roman" w:hint="eastAsia" w:eastAsia="楷体_GB2312"/>
          <w:sz w:val="32"/>
          <w:szCs w:val="32"/>
        </w:rPr>
        <w:t xml:space="preserve">  </w:t>
      </w:r>
      <w:r>
        <w:rPr>
          <w:rFonts w:eastAsia="宋体" w:cs="宋体" w:hint="eastAsia" w:ascii="宋体" w:hAnsi="宋体"/>
          <w:sz w:val="32"/>
          <w:szCs w:val="32"/>
        </w:rPr>
        <w:t>2021</w:t>
      </w:r>
      <w:r>
        <w:rPr>
          <w:rFonts w:ascii="Times New Roman" w:hAnsi="Times New Roman" w:cs="Times New Roman" w:eastAsia="楷体_GB2312"/>
          <w:sz w:val="32"/>
          <w:szCs w:val="32"/>
        </w:rPr>
        <w:t>年</w:t>
      </w:r>
      <w:r>
        <w:rPr>
          <w:rFonts w:eastAsia="宋体" w:cs="宋体" w:hint="eastAsia" w:ascii="宋体" w:hAnsi="宋体"/>
          <w:sz w:val="32"/>
          <w:szCs w:val="32"/>
        </w:rPr>
        <w:t>9</w:t>
      </w:r>
      <w:r>
        <w:rPr>
          <w:rFonts w:ascii="Times New Roman" w:hAnsi="Times New Roman" w:cs="Times New Roman" w:eastAsia="楷体_GB2312"/>
          <w:sz w:val="32"/>
          <w:szCs w:val="32"/>
        </w:rPr>
        <w:t>月</w:t>
      </w:r>
      <w:r>
        <w:rPr>
          <w:rFonts w:eastAsia="宋体" w:cs="宋体" w:hint="eastAsia" w:ascii="宋体" w:hAnsi="宋体"/>
          <w:sz w:val="32"/>
          <w:szCs w:val="32"/>
        </w:rPr>
        <w:t>29</w:t>
      </w:r>
      <w:r>
        <w:rPr>
          <w:rFonts w:ascii="Times New Roman" w:hAnsi="Times New Roman" w:cs="Times New Roman" w:eastAsia="楷体_GB2312"/>
          <w:sz w:val="32"/>
          <w:szCs w:val="32"/>
        </w:rPr>
        <w:t>日广东省第十三届人民代表大会常务委员会第三十五次会议批准）</w:t>
      </w:r>
    </w:p>
    <w:p>
      <w:pPr>
        <w:pStyle w:val="Normal"/>
        <w:spacing w:lineRule="exact" w:line="590"/>
        <w:jc w:val="center"/>
        <w:rPr>
          <w:rFonts w:ascii="宋体" w:hAnsi="宋体" w:eastAsia="楷体_GB2312" w:cs="方正小标宋简体" w:hint="eastAsia"/>
          <w:sz w:val="32"/>
          <w:szCs w:val="32"/>
        </w:rPr>
      </w:pPr>
      <w:r>
        <w:rPr>
          <w:rFonts w:eastAsia="楷体_GB2312" w:cs="方正小标宋简体" w:hint="eastAsia" w:ascii="宋体" w:hAnsi="宋体"/>
          <w:sz w:val="32"/>
          <w:szCs w:val="32"/>
        </w:rPr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湛江市第十四届人民代表大会常务委员会第五十次会议决定，对《湛江市历史建筑保护条例》作如下修改：</w:t>
      </w:r>
    </w:p>
    <w:p>
      <w:pPr>
        <w:pStyle w:val="Normal"/>
        <w:spacing w:lineRule="exact" w:line="590"/>
        <w:ind w:firstLine="640" w:end="0"/>
        <w:rPr>
          <w:rFonts w:ascii="仿宋_GB2312" w:hAnsi="仿宋_GB2312" w:eastAsia="仿宋_GB2312" w:cs="仿宋"/>
          <w:sz w:val="32"/>
          <w:szCs w:val="32"/>
        </w:rPr>
      </w:pPr>
      <w:r>
        <w:rPr>
          <w:rFonts w:ascii="仿宋_GB2312" w:hAnsi="仿宋_GB2312" w:cs="仿宋" w:hint="eastAsia"/>
          <w:sz w:val="32"/>
          <w:szCs w:val="32"/>
        </w:rPr>
        <w:t>一、第三条第一款中的“</w:t>
      </w:r>
      <w:r>
        <w:rPr>
          <w:rFonts w:ascii="仿宋_GB2312" w:hAnsi="仿宋_GB2312" w:cs="仿宋_GB2312" w:hint="eastAsia"/>
          <w:sz w:val="32"/>
          <w:szCs w:val="32"/>
        </w:rPr>
        <w:t>城市总体规划</w:t>
      </w:r>
      <w:r>
        <w:rPr>
          <w:rFonts w:ascii="仿宋_GB2312" w:hAnsi="仿宋_GB2312" w:cs="仿宋" w:hint="eastAsia"/>
          <w:sz w:val="32"/>
          <w:szCs w:val="32"/>
        </w:rPr>
        <w:t>”修改为“</w:t>
      </w:r>
      <w:r>
        <w:rPr>
          <w:rFonts w:ascii="仿宋_GB2312" w:hAnsi="仿宋_GB2312" w:cs="仿宋_GB2312" w:hint="eastAsia"/>
          <w:sz w:val="32"/>
          <w:szCs w:val="32"/>
        </w:rPr>
        <w:t>国土空间规划</w:t>
      </w:r>
      <w:r>
        <w:rPr>
          <w:rFonts w:ascii="仿宋_GB2312" w:hAnsi="仿宋_GB2312" w:cs="仿宋" w:hint="eastAsia"/>
          <w:sz w:val="32"/>
          <w:szCs w:val="32"/>
        </w:rPr>
        <w:t>”；</w:t>
      </w:r>
    </w:p>
    <w:p>
      <w:pPr>
        <w:pStyle w:val="Normal"/>
        <w:spacing w:lineRule="exact" w:line="590"/>
        <w:ind w:firstLine="640" w:end="0"/>
        <w:rPr>
          <w:rFonts w:ascii="仿宋_GB2312" w:hAnsi="仿宋_GB2312" w:eastAsia="仿宋_GB2312" w:cs="仿宋"/>
          <w:sz w:val="32"/>
          <w:szCs w:val="32"/>
        </w:rPr>
      </w:pPr>
      <w:r>
        <w:rPr>
          <w:rFonts w:ascii="仿宋_GB2312" w:hAnsi="仿宋_GB2312" w:cs="仿宋" w:hint="eastAsia"/>
          <w:sz w:val="32"/>
          <w:szCs w:val="32"/>
        </w:rPr>
        <w:t>二、第四条第一款、第八条第三款、第九条第一款、第十二条、第十四条第一款、第十五条第一款、第十八条、第二十条、第二十一条、第二十五条第一款、第二十六条、第三十条、第三十一条、第三十二条、第三十三条中的“城乡规划主管部门”修改为“自然资源主管部门”；</w:t>
      </w:r>
    </w:p>
    <w:p>
      <w:pPr>
        <w:pStyle w:val="Normal"/>
        <w:spacing w:lineRule="exact" w:line="590"/>
        <w:ind w:firstLine="640" w:end="0"/>
        <w:rPr>
          <w:rFonts w:ascii="仿宋_GB2312" w:hAnsi="仿宋_GB2312" w:eastAsia="仿宋_GB2312" w:cs="仿宋"/>
          <w:sz w:val="32"/>
          <w:szCs w:val="32"/>
        </w:rPr>
      </w:pPr>
      <w:r>
        <w:rPr>
          <w:rFonts w:ascii="仿宋_GB2312" w:hAnsi="仿宋_GB2312" w:cs="仿宋" w:hint="eastAsia"/>
          <w:sz w:val="32"/>
          <w:szCs w:val="32"/>
        </w:rPr>
        <w:t>三、第四条第二款中的“建设主管部门”修改为“住房城乡建设主管部门”；</w:t>
      </w:r>
    </w:p>
    <w:p>
      <w:pPr>
        <w:pStyle w:val="Normal"/>
        <w:spacing w:lineRule="exact" w:line="590"/>
        <w:ind w:firstLine="640" w:end="0"/>
        <w:rPr>
          <w:rFonts w:ascii="仿宋_GB2312" w:hAnsi="仿宋_GB2312" w:eastAsia="仿宋_GB2312" w:cs="仿宋"/>
          <w:sz w:val="32"/>
          <w:szCs w:val="32"/>
        </w:rPr>
      </w:pPr>
      <w:r>
        <w:rPr>
          <w:rFonts w:ascii="仿宋_GB2312" w:hAnsi="仿宋_GB2312" w:cs="仿宋" w:hint="eastAsia"/>
          <w:sz w:val="32"/>
          <w:szCs w:val="32"/>
        </w:rPr>
        <w:t>四、第四条第三款、第八条第三款、第九条第二款、第十二条、第十八条、第二十条、第二十一条中的“文物主管部门”修改为“文化旅游主管部门”；</w:t>
      </w:r>
    </w:p>
    <w:p>
      <w:pPr>
        <w:pStyle w:val="Normal"/>
        <w:spacing w:lineRule="exact" w:line="590"/>
        <w:ind w:firstLine="640" w:end="0"/>
        <w:rPr>
          <w:rFonts w:ascii="仿宋_GB2312" w:hAnsi="仿宋_GB2312" w:eastAsia="仿宋_GB2312" w:cs="仿宋"/>
          <w:sz w:val="32"/>
          <w:szCs w:val="32"/>
        </w:rPr>
      </w:pPr>
      <w:r>
        <w:rPr>
          <w:rFonts w:ascii="仿宋_GB2312" w:hAnsi="仿宋_GB2312" w:cs="仿宋" w:hint="eastAsia"/>
          <w:sz w:val="32"/>
          <w:szCs w:val="32"/>
        </w:rPr>
        <w:t>五、第四条第四款中的“房产、城市管理综合执法、财政、发展改革、国土资源、公安消防、工商行政、旅游等主管部门”修改为“城市管理综合执法、财政、发展改革、市场监督管理等主管部门和公安机关、消防救援机构”；</w:t>
      </w:r>
    </w:p>
    <w:p>
      <w:pPr>
        <w:pStyle w:val="Normal"/>
        <w:spacing w:lineRule="exact" w:line="590"/>
        <w:ind w:firstLine="640" w:end="0"/>
        <w:rPr>
          <w:rFonts w:ascii="仿宋_GB2312" w:hAnsi="仿宋_GB2312" w:eastAsia="仿宋_GB2312" w:cs="仿宋"/>
          <w:sz w:val="32"/>
          <w:szCs w:val="32"/>
        </w:rPr>
      </w:pPr>
      <w:r>
        <w:rPr>
          <w:rFonts w:ascii="仿宋_GB2312" w:hAnsi="仿宋_GB2312" w:cs="仿宋" w:hint="eastAsia"/>
          <w:sz w:val="32"/>
          <w:szCs w:val="32"/>
        </w:rPr>
        <w:t>六、第九条第二款中的“城乡规划”修改为“自然资源”；</w:t>
      </w:r>
    </w:p>
    <w:p>
      <w:pPr>
        <w:pStyle w:val="Normal"/>
        <w:shd w:fill="FFFFFF" w:val="clear"/>
        <w:spacing w:lineRule="exact" w:line="590"/>
        <w:ind w:firstLineChars="200" w:startChars="0" w:start="0" w:endChars="0" w:end="0"/>
        <w:rPr>
          <w:rFonts w:ascii="仿宋_GB2312" w:hAnsi="仿宋_GB2312" w:eastAsia="仿宋_GB2312" w:cs="仿宋"/>
          <w:sz w:val="32"/>
          <w:szCs w:val="32"/>
        </w:rPr>
      </w:pPr>
      <w:r>
        <w:rPr>
          <w:rFonts w:ascii="仿宋_GB2312" w:hAnsi="仿宋_GB2312" w:cs="仿宋" w:hint="eastAsia"/>
          <w:sz w:val="32"/>
          <w:szCs w:val="32"/>
        </w:rPr>
        <w:t>七、第二十三条中的“房产主管部门”修改为“住房城乡建设部门”；</w:t>
      </w:r>
    </w:p>
    <w:p>
      <w:pPr>
        <w:pStyle w:val="Normal"/>
        <w:shd w:fill="FFFFFF" w:val="clear"/>
        <w:spacing w:lineRule="exact" w:line="590"/>
        <w:ind w:firstLineChars="200" w:startChars="0" w:start="0" w:endChars="0" w:end="0"/>
        <w:rPr>
          <w:rFonts w:ascii="仿宋_GB2312" w:hAnsi="仿宋_GB2312" w:eastAsia="仿宋_GB2312" w:cs="仿宋"/>
          <w:sz w:val="32"/>
          <w:szCs w:val="32"/>
        </w:rPr>
      </w:pPr>
      <w:r>
        <w:rPr>
          <w:rFonts w:ascii="仿宋_GB2312" w:hAnsi="仿宋_GB2312" w:cs="仿宋" w:hint="eastAsia"/>
          <w:sz w:val="32"/>
          <w:szCs w:val="32"/>
        </w:rPr>
        <w:t>八、第二十四条第一款第四项“</w:t>
      </w:r>
      <w:r>
        <w:rPr>
          <w:rFonts w:ascii="仿宋_GB2312" w:hAnsi="仿宋_GB2312" w:cs="仿宋_GB2312" w:hint="eastAsia"/>
          <w:color w:val="191919"/>
          <w:sz w:val="32"/>
          <w:szCs w:val="32"/>
        </w:rPr>
        <w:t>确保消防、防灾等设施、设备的正常使用</w:t>
      </w:r>
      <w:r>
        <w:rPr>
          <w:rFonts w:ascii="仿宋_GB2312" w:hAnsi="仿宋_GB2312" w:cs="仿宋" w:hint="eastAsia"/>
          <w:sz w:val="32"/>
          <w:szCs w:val="32"/>
        </w:rPr>
        <w:t>”修改为“</w:t>
      </w:r>
      <w:r>
        <w:rPr>
          <w:rFonts w:ascii="仿宋_GB2312" w:hAnsi="仿宋_GB2312" w:cs="仿宋_GB2312" w:hint="eastAsia"/>
          <w:color w:val="191919"/>
          <w:sz w:val="32"/>
          <w:szCs w:val="32"/>
        </w:rPr>
        <w:t>确保</w:t>
      </w:r>
      <w:hyperlink r:id="rId2" w:tgtFrame="https://baike.baidu.com/item/%E5%8E%86%E5%8F%B2%E6%96%87%E5%8C%96%E5%90%8D%E5%9F%8E%E5%90%8D%E9%95%87%E5%90%8D%E6%9D%91%E4%BF%9D%E6%8A%A4%E6%9D%A1%E4%BE%8B/_blank">
        <w:r>
          <w:rPr>
            <w:rStyle w:val="Hyperlink"/>
            <w:rFonts w:ascii="仿宋_GB2312" w:hAnsi="仿宋_GB2312" w:cs="仿宋_GB2312" w:hint="eastAsia"/>
            <w:sz w:val="32"/>
            <w:szCs w:val="32"/>
          </w:rPr>
          <w:t>消防通道</w:t>
        </w:r>
      </w:hyperlink>
      <w:r>
        <w:rPr>
          <w:rFonts w:ascii="仿宋_GB2312" w:hAnsi="仿宋_GB2312" w:cs="仿宋_GB2312" w:hint="eastAsia"/>
          <w:sz w:val="32"/>
          <w:szCs w:val="32"/>
        </w:rPr>
        <w:t>畅通，</w:t>
      </w:r>
      <w:r>
        <w:rPr>
          <w:rFonts w:ascii="仿宋_GB2312" w:hAnsi="仿宋_GB2312" w:cs="仿宋_GB2312" w:hint="eastAsia"/>
          <w:color w:val="191919"/>
          <w:sz w:val="32"/>
          <w:szCs w:val="32"/>
        </w:rPr>
        <w:t>消防、防灾等设施、设备的正常使用</w:t>
      </w:r>
      <w:r>
        <w:rPr>
          <w:rFonts w:ascii="仿宋_GB2312" w:hAnsi="仿宋_GB2312" w:cs="仿宋" w:hint="eastAsia"/>
          <w:sz w:val="32"/>
          <w:szCs w:val="32"/>
        </w:rPr>
        <w:t>”；</w:t>
      </w:r>
    </w:p>
    <w:p>
      <w:pPr>
        <w:pStyle w:val="Normal"/>
        <w:shd w:fill="FFFFFF" w:val="clear"/>
        <w:spacing w:lineRule="exact" w:line="590"/>
        <w:ind w:firstLineChars="200" w:startChars="0" w:start="0" w:endChars="0" w:end="0"/>
        <w:rPr>
          <w:rFonts w:ascii="仿宋_GB2312" w:hAnsi="仿宋_GB2312" w:eastAsia="仿宋_GB2312" w:cs="仿宋"/>
          <w:sz w:val="32"/>
          <w:szCs w:val="32"/>
        </w:rPr>
      </w:pPr>
      <w:r>
        <w:rPr>
          <w:rFonts w:ascii="仿宋_GB2312" w:hAnsi="仿宋_GB2312" w:cs="仿宋" w:hint="eastAsia"/>
          <w:sz w:val="32"/>
          <w:szCs w:val="32"/>
        </w:rPr>
        <w:t>九、第二十九条第一款中的“监察机关”修改为“其他有权机关”。</w:t>
      </w:r>
    </w:p>
    <w:p>
      <w:pPr>
        <w:pStyle w:val="Normal"/>
        <w:shd w:fill="FFFFFF" w:val="clear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本决定自公布之日起施行。</w:t>
      </w:r>
    </w:p>
    <w:p>
      <w:pPr>
        <w:pStyle w:val="Normal"/>
        <w:ind w:firstLineChars="200" w:startChars="0" w:start="0" w:endChars="0" w:end="0"/>
        <w:rPr/>
      </w:pPr>
      <w:r>
        <w:rPr>
          <w:rFonts w:ascii="仿宋_GB2312" w:hAnsi="仿宋_GB2312" w:cs="仿宋_GB2312" w:hint="eastAsia"/>
          <w:sz w:val="32"/>
          <w:szCs w:val="32"/>
        </w:rPr>
        <w:t>《</w:t>
      </w:r>
      <w:r>
        <w:rPr>
          <w:rFonts w:ascii="仿宋_GB2312" w:hAnsi="仿宋_GB2312" w:cs="宋体" w:hint="eastAsia"/>
          <w:sz w:val="32"/>
          <w:szCs w:val="32"/>
        </w:rPr>
        <w:t>湛江市历史建筑保护条例</w:t>
      </w:r>
      <w:r>
        <w:rPr>
          <w:rFonts w:ascii="仿宋_GB2312" w:hAnsi="仿宋_GB2312" w:cs="仿宋_GB2312" w:hint="eastAsia"/>
          <w:sz w:val="32"/>
          <w:szCs w:val="32"/>
        </w:rPr>
        <w:t>》根据本决定作相应修改后，重新公布。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等线">
    <w:altName w:val="宋体"/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alibri">
    <w:charset w:val="00" w:characterSet="windows-1252"/>
    <w:family w:val="swiss"/>
    <w:pitch w:val="default"/>
  </w:font>
  <w:font w:name="宋体">
    <w:charset w:val="86"/>
    <w:family w:val="auto"/>
    <w:pitch w:val="default"/>
  </w:font>
  <w:font w:name="Times New Roman">
    <w:charset w:val="cc" w:characterSet="windows-1251"/>
    <w:family w:val="roman"/>
    <w:pitch w:val="default"/>
  </w:font>
  <w:font w:name="仿宋_GB2312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Style15"/>
    <w:qFormat/>
    <w:pPr>
      <w:widowControl w:val="false"/>
      <w:bidi w:val="0"/>
      <w:jc w:val="both"/>
    </w:pPr>
    <w:rPr>
      <w:rFonts w:ascii="等线;宋体" w:hAnsi="等线;宋体" w:eastAsia="仿宋_GB2312" w:cs="Times New Roman"/>
      <w:color w:val="auto"/>
      <w:kern w:val="2"/>
      <w:sz w:val="32"/>
      <w:szCs w:val="32"/>
      <w:lang w:bidi="ar-SA" w:val="en-US" w:eastAsia="zh-CN"/>
    </w:rPr>
  </w:style>
  <w:style w:type="character" w:styleId="Style14">
    <w:name w:val="默认段落字体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正文缩进"/>
    <w:basedOn w:val="Normal"/>
    <w:next w:val="Normal"/>
    <w:qFormat/>
    <w:pPr>
      <w:ind w:firstLineChars="200" w:startChars="0" w:start="0" w:endChars="0" w:end="0"/>
    </w:pPr>
    <w:rPr>
      <w:rFonts w:ascii="Calibri" w:hAnsi="Calibri" w:eastAsia="宋体" w:cs="Times New Roma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aike.baidu.com/item/&#28040;&#38450;&#36890;&#36947;/5113824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43200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2021-10-27T18:33:00Z</dcterms:created>
  <dc:creator>谢浩然</dc:creator>
  <dc:description/>
  <dc:language>en-US</dc:language>
  <cp:lastModifiedBy>谢浩然</cp:lastModifiedBy>
  <dcterms:modified xsi:type="dcterms:W3CDTF">2021-10-27T18:34:39Z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2052-10.8.0.6501</vt:lpwstr>
  </property>
</Properties>
</file>