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90"/>
        <w:ind w:firstLineChars="0" w:firstLine="0" w:startChars="0" w:start="0" w:endChars="0" w:end="0"/>
        <w:rPr>
          <w:rFonts w:ascii="宋体" w:hAnsi="宋体" w:eastAsia="仿宋_GB2312" w:hint="eastAsia"/>
          <w:color w:val="000000"/>
          <w:sz w:val="32"/>
          <w:szCs w:val="32"/>
        </w:rPr>
      </w:pPr>
      <w:r>
        <w:rPr>
          <w:rFonts w:eastAsia="仿宋_GB2312" w:hint="eastAsia" w:ascii="宋体" w:hAnsi="宋体"/>
          <w:color w:val="000000"/>
          <w:sz w:val="32"/>
          <w:szCs w:val="32"/>
        </w:rPr>
      </w:r>
    </w:p>
    <w:p>
      <w:pPr>
        <w:pStyle w:val="Normal"/>
        <w:spacing w:lineRule="exact" w:line="590"/>
        <w:ind w:firstLineChars="168" w:startChars="0" w:start="0" w:endChars="0" w:end="0"/>
        <w:rPr>
          <w:rFonts w:ascii="宋体" w:hAnsi="宋体" w:eastAsia="仿宋_GB2312" w:cs="宋体" w:hint="eastAsia"/>
          <w:color w:val="000000"/>
          <w:sz w:val="32"/>
          <w:szCs w:val="32"/>
        </w:rPr>
      </w:pPr>
      <w:r>
        <w:rPr>
          <w:rFonts w:eastAsia="仿宋_GB2312" w:cs="宋体" w:hint="eastAsia" w:ascii="宋体" w:hAnsi="宋体"/>
          <w:color w:val="000000"/>
          <w:sz w:val="32"/>
          <w:szCs w:val="32"/>
        </w:rPr>
      </w:r>
    </w:p>
    <w:p>
      <w:pPr>
        <w:pStyle w:val="Style15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true"/>
        <w:spacing w:lineRule="exact" w:line="590"/>
        <w:ind w:firstLineChars="0" w:firstLine="0" w:endChars="0" w:end="0"/>
        <w:jc w:val="both"/>
        <w:textAlignment w:val="auto"/>
        <w:rPr>
          <w:rFonts w:ascii="宋体" w:hAnsi="宋体" w:eastAsia="宋体" w:cs="宋体" w:hint="eastAsia"/>
          <w:b w:val="false"/>
          <w:bCs/>
          <w:spacing w:val="17"/>
          <w:sz w:val="44"/>
          <w:szCs w:val="44"/>
          <w:highlight w:val="none"/>
        </w:rPr>
      </w:pPr>
      <w:r>
        <w:rPr>
          <w:rFonts w:eastAsia="宋体" w:cs="宋体" w:hint="eastAsia" w:ascii="宋体" w:hAnsi="宋体"/>
          <w:b w:val="false"/>
          <w:bCs/>
          <w:spacing w:val="17"/>
          <w:sz w:val="44"/>
          <w:szCs w:val="44"/>
        </w:rPr>
      </w:r>
    </w:p>
    <w:p>
      <w:pPr>
        <w:pStyle w:val="Normal"/>
        <w:snapToGrid w:val="false"/>
        <w:spacing w:lineRule="exact" w:line="590"/>
        <w:jc w:val="center"/>
        <w:rPr>
          <w:rFonts w:ascii="宋体" w:hAnsi="宋体" w:eastAsia="宋体" w:cs="宋体" w:hint="eastAsia"/>
          <w:b w:val="false"/>
          <w:bCs/>
          <w:spacing w:val="-17"/>
          <w:sz w:val="44"/>
          <w:szCs w:val="44"/>
          <w:highlight w:val="none"/>
        </w:rPr>
      </w:pPr>
      <w:r>
        <w:rPr>
          <w:rFonts w:ascii="宋体" w:hAnsi="宋体" w:cs="宋体" w:hint="eastAsia" w:eastAsia="宋体"/>
          <w:b w:val="false"/>
          <w:bCs/>
          <w:spacing w:val="-17"/>
          <w:sz w:val="44"/>
          <w:szCs w:val="44"/>
        </w:rPr>
        <w:t>广州市人民代表大会常务委员会关于清理</w:t>
      </w:r>
    </w:p>
    <w:p>
      <w:pPr>
        <w:pStyle w:val="Normal"/>
        <w:snapToGrid w:val="false"/>
        <w:spacing w:lineRule="exact" w:line="590"/>
        <w:jc w:val="center"/>
        <w:rPr>
          <w:rFonts w:ascii="宋体" w:hAnsi="宋体" w:eastAsia="宋体" w:cs="宋体" w:hint="eastAsia"/>
          <w:b w:val="false"/>
          <w:bCs/>
          <w:spacing w:val="-17"/>
          <w:sz w:val="44"/>
          <w:szCs w:val="44"/>
          <w:highlight w:val="none"/>
        </w:rPr>
      </w:pPr>
      <w:r>
        <w:rPr>
          <w:rFonts w:ascii="宋体" w:hAnsi="宋体" w:cs="宋体" w:hint="eastAsia" w:eastAsia="宋体"/>
          <w:b w:val="false"/>
          <w:bCs/>
          <w:spacing w:val="-17"/>
          <w:sz w:val="44"/>
          <w:szCs w:val="44"/>
        </w:rPr>
        <w:t>广州市地方性法规中与民法典</w:t>
      </w:r>
    </w:p>
    <w:p>
      <w:pPr>
        <w:pStyle w:val="Normal"/>
        <w:snapToGrid w:val="false"/>
        <w:spacing w:lineRule="exact" w:line="590"/>
        <w:jc w:val="center"/>
        <w:rPr>
          <w:rFonts w:ascii="宋体" w:hAnsi="宋体" w:eastAsia="宋体" w:cs="宋体" w:hint="eastAsia"/>
          <w:b w:val="false"/>
          <w:bCs/>
          <w:spacing w:val="-17"/>
          <w:sz w:val="44"/>
          <w:szCs w:val="44"/>
          <w:highlight w:val="none"/>
        </w:rPr>
      </w:pPr>
      <w:r>
        <w:rPr>
          <w:rFonts w:ascii="宋体" w:hAnsi="宋体" w:cs="宋体" w:hint="eastAsia" w:eastAsia="宋体"/>
          <w:b w:val="false"/>
          <w:bCs/>
          <w:spacing w:val="-17"/>
          <w:sz w:val="44"/>
          <w:szCs w:val="44"/>
        </w:rPr>
        <w:t>不一致条款的决定</w:t>
      </w:r>
    </w:p>
    <w:p>
      <w:pPr>
        <w:pStyle w:val="Style15"/>
        <w:rPr>
          <w:rFonts w:ascii="宋体" w:hAnsi="宋体" w:eastAsia="宋体" w:cs="宋体" w:hint="eastAsia"/>
          <w:b w:val="false"/>
          <w:bCs/>
          <w:spacing w:val="-17"/>
          <w:sz w:val="44"/>
          <w:szCs w:val="44"/>
          <w:highlight w:val="none"/>
        </w:rPr>
      </w:pPr>
      <w:r>
        <w:rPr>
          <w:rFonts w:eastAsia="宋体" w:cs="宋体" w:hint="eastAsia" w:ascii="宋体" w:hAnsi="宋体"/>
          <w:b w:val="false"/>
          <w:bCs/>
          <w:spacing w:val="-17"/>
          <w:sz w:val="44"/>
          <w:szCs w:val="44"/>
        </w:rPr>
      </w:r>
    </w:p>
    <w:p>
      <w:pPr>
        <w:pStyle w:val="Default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楷体_GB2312" w:hAnsi="楷体_GB2312" w:eastAsia="楷体_GB2312" w:cs="楷体_GB2312" w:hint="eastAsia"/>
          <w:sz w:val="32"/>
          <w:szCs w:val="32"/>
        </w:rPr>
      </w:pPr>
      <w:r>
        <w:rPr>
          <w:rFonts w:ascii="楷体_GB2312" w:hAnsi="楷体_GB2312" w:cs="楷体_GB2312" w:hint="eastAsia" w:eastAsia="楷体_GB2312"/>
          <w:sz w:val="32"/>
          <w:szCs w:val="32"/>
        </w:rPr>
        <w:t>（</w:t>
      </w:r>
      <w:r>
        <w:rPr>
          <w:rFonts w:eastAsia="宋体" w:cs="宋体" w:hint="eastAsia" w:ascii="宋体" w:hAnsi="宋体"/>
          <w:sz w:val="32"/>
        </w:rPr>
        <w:t>2021</w:t>
      </w:r>
      <w:r>
        <w:rPr>
          <w:rFonts w:ascii="楷体_GB2312" w:hAnsi="楷体_GB2312" w:cs="楷体_GB2312" w:hint="eastAsia" w:eastAsia="楷体_GB2312"/>
          <w:sz w:val="32"/>
        </w:rPr>
        <w:t>年</w:t>
      </w:r>
      <w:r>
        <w:rPr>
          <w:rFonts w:eastAsia="宋体" w:cs="宋体" w:hint="eastAsia" w:ascii="宋体" w:hAnsi="宋体"/>
          <w:sz w:val="32"/>
        </w:rPr>
        <w:t>5</w:t>
      </w:r>
      <w:r>
        <w:rPr>
          <w:rFonts w:ascii="楷体_GB2312" w:hAnsi="楷体_GB2312" w:cs="楷体_GB2312" w:hint="eastAsia" w:eastAsia="楷体_GB2312"/>
          <w:sz w:val="32"/>
        </w:rPr>
        <w:t>月</w:t>
      </w:r>
      <w:r>
        <w:rPr>
          <w:rFonts w:eastAsia="宋体" w:cs="宋体" w:hint="eastAsia" w:ascii="宋体" w:hAnsi="宋体"/>
          <w:sz w:val="32"/>
        </w:rPr>
        <w:t>27</w:t>
      </w:r>
      <w:r>
        <w:rPr>
          <w:rFonts w:ascii="楷体_GB2312" w:hAnsi="楷体_GB2312" w:cs="楷体_GB2312" w:hint="eastAsia" w:eastAsia="楷体_GB2312"/>
          <w:sz w:val="32"/>
        </w:rPr>
        <w:t>日</w:t>
      </w:r>
      <w:r>
        <w:rPr>
          <w:rFonts w:ascii="楷体_GB2312" w:hAnsi="楷体_GB2312" w:cs="楷体_GB2312" w:hint="eastAsia" w:eastAsia="楷体_GB2312"/>
          <w:sz w:val="32"/>
          <w:szCs w:val="32"/>
        </w:rPr>
        <w:t xml:space="preserve">广州市第十五届人民代表大会常务委员会第四十九次会议通过  </w:t>
      </w:r>
      <w:r>
        <w:rPr>
          <w:rFonts w:eastAsia="宋体" w:cs="宋体" w:hint="eastAsia" w:ascii="宋体" w:hAnsi="宋体"/>
          <w:sz w:val="32"/>
        </w:rPr>
        <w:t>2021</w:t>
      </w:r>
      <w:r>
        <w:rPr>
          <w:rFonts w:ascii="楷体_GB2312" w:hAnsi="楷体_GB2312" w:cs="楷体_GB2312" w:hint="eastAsia" w:eastAsia="楷体_GB2312"/>
          <w:sz w:val="32"/>
        </w:rPr>
        <w:t>年</w:t>
      </w:r>
      <w:r>
        <w:rPr>
          <w:rFonts w:eastAsia="宋体" w:cs="宋体" w:hint="eastAsia" w:ascii="宋体" w:hAnsi="宋体"/>
          <w:sz w:val="32"/>
        </w:rPr>
        <w:t>9</w:t>
      </w:r>
      <w:r>
        <w:rPr>
          <w:rFonts w:ascii="楷体_GB2312" w:hAnsi="楷体_GB2312" w:cs="楷体_GB2312" w:hint="eastAsia" w:eastAsia="楷体_GB2312"/>
          <w:sz w:val="32"/>
        </w:rPr>
        <w:t>月</w:t>
      </w:r>
      <w:r>
        <w:rPr>
          <w:rFonts w:eastAsia="宋体" w:cs="宋体" w:hint="eastAsia" w:ascii="宋体" w:hAnsi="宋体"/>
          <w:sz w:val="32"/>
        </w:rPr>
        <w:t>29</w:t>
      </w:r>
      <w:r>
        <w:rPr>
          <w:rFonts w:ascii="楷体_GB2312" w:hAnsi="楷体_GB2312" w:cs="楷体_GB2312" w:hint="eastAsia" w:eastAsia="楷体_GB2312"/>
          <w:sz w:val="32"/>
        </w:rPr>
        <w:t>日广东省第十三届人民代表大会常务委员会第三十五次会议通过</w:t>
      </w:r>
      <w:r>
        <w:rPr>
          <w:rFonts w:ascii="楷体_GB2312" w:hAnsi="楷体_GB2312" w:cs="楷体_GB2312" w:hint="eastAsia" w:eastAsia="楷体_GB2312"/>
          <w:sz w:val="32"/>
          <w:szCs w:val="32"/>
        </w:rPr>
        <w:t>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true"/>
        <w:spacing w:lineRule="auto" w:line="240"/>
        <w:ind w:firstLineChars="200" w:startChars="0" w:start="0" w:endChars="0" w:end="0"/>
        <w:jc w:val="center"/>
        <w:textAlignment w:val="auto"/>
        <w:rPr>
          <w:rFonts w:ascii="楷体_GB2312" w:hAnsi="楷体_GB2312" w:eastAsia="楷体_GB2312" w:cs="楷体_GB2312" w:hint="eastAsia"/>
          <w:kern w:val="0"/>
          <w:sz w:val="32"/>
          <w:szCs w:val="32"/>
        </w:rPr>
      </w:pPr>
      <w:r>
        <w:rPr>
          <w:rFonts w:eastAsia="楷体_GB2312" w:cs="楷体_GB2312" w:hint="eastAsia" w:ascii="楷体_GB2312" w:hAnsi="楷体_GB2312"/>
          <w:kern w:val="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hint="eastAsia"/>
          <w:kern w:val="0"/>
          <w:sz w:val="32"/>
        </w:rPr>
      </w:pPr>
      <w:r>
        <w:rPr>
          <w:rFonts w:ascii="仿宋_GB2312" w:hAnsi="仿宋_GB2312" w:cs="仿宋_GB2312" w:hint="eastAsia"/>
          <w:kern w:val="0"/>
          <w:sz w:val="32"/>
        </w:rPr>
        <w:t>为贯彻落实习近平总书记关于实施《中华人民共和国民法典》（以下简称“民法典”）的重要指示精神，确保民法典在我市得到全面有效实施，广州市人民代表大会常务委员会对与民法典规定和原则不一致的《广州经济技术开发区条例》等</w:t>
      </w:r>
      <w:r>
        <w:rPr>
          <w:rFonts w:ascii="仿宋_GB2312" w:hAnsi="仿宋_GB2312" w:cs="仿宋_GB2312" w:hint="eastAsia"/>
          <w:kern w:val="0"/>
          <w:sz w:val="32"/>
        </w:rPr>
        <w:t>八</w:t>
      </w:r>
      <w:r>
        <w:rPr>
          <w:rFonts w:ascii="仿宋_GB2312" w:hAnsi="仿宋_GB2312" w:cs="仿宋_GB2312" w:hint="eastAsia"/>
          <w:kern w:val="0"/>
          <w:sz w:val="32"/>
        </w:rPr>
        <w:t>件法规进行清理，决定如下</w:t>
      </w:r>
      <w:r>
        <w:rPr>
          <w:rFonts w:ascii="仿宋_GB2312" w:hAnsi="仿宋_GB2312" w:hint="eastAsia"/>
          <w:kern w:val="0"/>
          <w:sz w:val="32"/>
        </w:rPr>
        <w:t>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hint="eastAsia"/>
          <w:kern w:val="0"/>
          <w:sz w:val="32"/>
        </w:rPr>
      </w:pPr>
      <w:r>
        <w:rPr>
          <w:rFonts w:ascii="仿宋_GB2312" w:hAnsi="仿宋_GB2312" w:hint="eastAsia"/>
          <w:kern w:val="0"/>
          <w:sz w:val="32"/>
        </w:rPr>
        <w:t>一、</w:t>
      </w:r>
      <w:r>
        <w:rPr>
          <w:rFonts w:ascii="仿宋_GB2312" w:hAnsi="仿宋_GB2312" w:hint="eastAsia"/>
          <w:kern w:val="0"/>
          <w:sz w:val="32"/>
        </w:rPr>
        <w:t>废止</w:t>
      </w:r>
      <w:r>
        <w:rPr>
          <w:rFonts w:ascii="仿宋_GB2312" w:hAnsi="仿宋_GB2312" w:hint="eastAsia"/>
          <w:kern w:val="0"/>
          <w:sz w:val="32"/>
        </w:rPr>
        <w:t>《广州经济技术开发区条例》第二十条第二款。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hint="eastAsia"/>
          <w:kern w:val="0"/>
          <w:sz w:val="32"/>
        </w:rPr>
      </w:pPr>
      <w:r>
        <w:rPr>
          <w:rFonts w:ascii="仿宋_GB2312" w:hAnsi="仿宋_GB2312" w:hint="eastAsia"/>
          <w:kern w:val="0"/>
          <w:sz w:val="32"/>
        </w:rPr>
        <w:t>二、</w:t>
      </w:r>
      <w:r>
        <w:rPr>
          <w:rFonts w:ascii="仿宋_GB2312" w:hAnsi="仿宋_GB2312" w:hint="eastAsia"/>
          <w:kern w:val="0"/>
          <w:sz w:val="32"/>
        </w:rPr>
        <w:t>废止</w:t>
      </w:r>
      <w:r>
        <w:rPr>
          <w:rFonts w:ascii="仿宋_GB2312" w:hAnsi="仿宋_GB2312" w:hint="eastAsia"/>
          <w:kern w:val="0"/>
          <w:sz w:val="32"/>
        </w:rPr>
        <w:t>《广州市殡葬管理规定》第二十条。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hint="eastAsia"/>
          <w:kern w:val="0"/>
          <w:sz w:val="32"/>
        </w:rPr>
      </w:pPr>
      <w:r>
        <w:rPr>
          <w:rFonts w:ascii="仿宋_GB2312" w:hAnsi="仿宋_GB2312" w:hint="eastAsia"/>
          <w:kern w:val="0"/>
          <w:sz w:val="32"/>
        </w:rPr>
        <w:t>三、将《广州市旅游条例》第六十七条</w:t>
      </w:r>
      <w:r>
        <w:rPr>
          <w:rFonts w:ascii="仿宋_GB2312" w:hAnsi="仿宋_GB2312" w:hint="eastAsia"/>
          <w:kern w:val="0"/>
          <w:sz w:val="32"/>
        </w:rPr>
        <w:t>中的“《中华人民共和国民法通则》”</w:t>
      </w:r>
      <w:r>
        <w:rPr>
          <w:rFonts w:ascii="仿宋_GB2312" w:hAnsi="仿宋_GB2312" w:hint="eastAsia"/>
          <w:kern w:val="0"/>
          <w:sz w:val="32"/>
        </w:rPr>
        <w:t>修改为</w:t>
      </w:r>
      <w:r>
        <w:rPr>
          <w:rFonts w:ascii="仿宋_GB2312" w:hAnsi="仿宋_GB2312" w:hint="eastAsia"/>
          <w:kern w:val="0"/>
          <w:sz w:val="32"/>
        </w:rPr>
        <w:t>“《</w:t>
      </w:r>
      <w:r>
        <w:rPr>
          <w:rFonts w:ascii="仿宋_GB2312" w:hAnsi="仿宋_GB2312" w:hint="eastAsia"/>
          <w:kern w:val="0"/>
          <w:sz w:val="32"/>
        </w:rPr>
        <w:t>中华人民共和国民法典</w:t>
      </w:r>
      <w:r>
        <w:rPr>
          <w:rFonts w:ascii="仿宋_GB2312" w:hAnsi="仿宋_GB2312" w:hint="eastAsia"/>
          <w:kern w:val="0"/>
          <w:sz w:val="32"/>
        </w:rPr>
        <w:t>》”</w:t>
      </w:r>
      <w:r>
        <w:rPr>
          <w:rFonts w:ascii="仿宋_GB2312" w:hAnsi="仿宋_GB2312" w:hint="eastAsia"/>
          <w:kern w:val="0"/>
          <w:sz w:val="32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仿宋_GB2312" w:hAnsi="仿宋_GB2312" w:hint="eastAsia"/>
          <w:kern w:val="0"/>
          <w:sz w:val="32"/>
        </w:rPr>
      </w:pPr>
      <w:r>
        <w:rPr>
          <w:rFonts w:ascii="仿宋_GB2312" w:hAnsi="仿宋_GB2312" w:hint="eastAsia"/>
          <w:kern w:val="0"/>
          <w:sz w:val="32"/>
        </w:rPr>
        <w:t>四、将《广州市未成年人保护规定》第四十七条</w:t>
      </w:r>
      <w:r>
        <w:rPr>
          <w:rFonts w:ascii="仿宋_GB2312" w:hAnsi="仿宋_GB2312" w:hint="eastAsia"/>
          <w:kern w:val="0"/>
          <w:sz w:val="32"/>
        </w:rPr>
        <w:t>中的“未满十周岁”</w:t>
      </w:r>
      <w:r>
        <w:rPr>
          <w:rFonts w:ascii="仿宋_GB2312" w:hAnsi="仿宋_GB2312" w:hint="eastAsia"/>
          <w:kern w:val="0"/>
          <w:sz w:val="32"/>
        </w:rPr>
        <w:t>修改为“</w:t>
      </w:r>
      <w:r>
        <w:rPr>
          <w:rFonts w:ascii="仿宋_GB2312" w:hAnsi="仿宋_GB2312" w:hint="eastAsia"/>
          <w:kern w:val="0"/>
          <w:sz w:val="32"/>
        </w:rPr>
        <w:t>未满八周岁</w:t>
      </w:r>
      <w:r>
        <w:rPr>
          <w:rFonts w:ascii="仿宋_GB2312" w:hAnsi="仿宋_GB2312" w:hint="eastAsia"/>
          <w:kern w:val="0"/>
          <w:sz w:val="32"/>
        </w:rPr>
        <w:t>”</w:t>
      </w:r>
      <w:r>
        <w:rPr>
          <w:rFonts w:ascii="仿宋_GB2312" w:hAnsi="仿宋_GB2312" w:hint="eastAsia"/>
          <w:kern w:val="0"/>
          <w:sz w:val="32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hint="eastAsia"/>
          <w:kern w:val="0"/>
          <w:sz w:val="32"/>
        </w:rPr>
      </w:pPr>
      <w:r>
        <w:rPr>
          <w:rFonts w:ascii="仿宋_GB2312" w:hAnsi="仿宋_GB2312" w:hint="eastAsia"/>
          <w:kern w:val="0"/>
          <w:sz w:val="32"/>
        </w:rPr>
        <w:t>五、将《广州市人民防空管理规定》第二十五条</w:t>
      </w:r>
      <w:r>
        <w:rPr>
          <w:rFonts w:ascii="仿宋_GB2312" w:hAnsi="仿宋_GB2312" w:hint="eastAsia"/>
          <w:kern w:val="0"/>
          <w:sz w:val="32"/>
        </w:rPr>
        <w:t>中的“</w:t>
      </w:r>
      <w:r>
        <w:rPr>
          <w:rFonts w:ascii="仿宋_GB2312" w:hAnsi="仿宋_GB2312" w:hint="eastAsia"/>
          <w:kern w:val="0"/>
          <w:sz w:val="32"/>
        </w:rPr>
        <w:t>《中华人民共和国物权法》</w:t>
      </w:r>
      <w:r>
        <w:rPr>
          <w:rFonts w:ascii="仿宋_GB2312" w:hAnsi="仿宋_GB2312" w:hint="eastAsia"/>
          <w:kern w:val="0"/>
          <w:sz w:val="32"/>
        </w:rPr>
        <w:t>”</w:t>
      </w:r>
      <w:r>
        <w:rPr>
          <w:rFonts w:ascii="仿宋_GB2312" w:hAnsi="仿宋_GB2312" w:hint="eastAsia"/>
          <w:kern w:val="0"/>
          <w:sz w:val="32"/>
        </w:rPr>
        <w:t>修改为</w:t>
      </w:r>
      <w:r>
        <w:rPr>
          <w:rFonts w:ascii="仿宋_GB2312" w:hAnsi="仿宋_GB2312" w:hint="eastAsia"/>
          <w:kern w:val="0"/>
          <w:sz w:val="32"/>
        </w:rPr>
        <w:t>“</w:t>
      </w:r>
      <w:r>
        <w:rPr>
          <w:rFonts w:ascii="仿宋_GB2312" w:hAnsi="仿宋_GB2312" w:hint="eastAsia"/>
          <w:kern w:val="0"/>
          <w:sz w:val="32"/>
        </w:rPr>
        <w:t>《中华人民共和国民法典》</w:t>
      </w:r>
      <w:r>
        <w:rPr>
          <w:rFonts w:ascii="仿宋_GB2312" w:hAnsi="仿宋_GB2312" w:hint="eastAsia"/>
          <w:kern w:val="0"/>
          <w:sz w:val="32"/>
        </w:rPr>
        <w:t>”</w:t>
      </w:r>
      <w:r>
        <w:rPr>
          <w:rFonts w:ascii="仿宋_GB2312" w:hAnsi="仿宋_GB2312" w:hint="eastAsia"/>
          <w:kern w:val="0"/>
          <w:sz w:val="32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0"/>
          <w:sz w:val="32"/>
        </w:rPr>
      </w:pPr>
      <w:r>
        <w:rPr>
          <w:rFonts w:ascii="仿宋_GB2312" w:hAnsi="仿宋_GB2312" w:hint="eastAsia"/>
          <w:kern w:val="0"/>
          <w:sz w:val="32"/>
        </w:rPr>
        <w:t>六、</w:t>
      </w:r>
      <w:r>
        <w:rPr>
          <w:rFonts w:ascii="仿宋_GB2312" w:hAnsi="仿宋_GB2312" w:hint="eastAsia"/>
          <w:kern w:val="0"/>
          <w:sz w:val="32"/>
        </w:rPr>
        <w:t>废止</w:t>
      </w:r>
      <w:r>
        <w:rPr>
          <w:rFonts w:ascii="仿宋_GB2312" w:hAnsi="仿宋_GB2312" w:hint="eastAsia"/>
          <w:kern w:val="0"/>
          <w:sz w:val="32"/>
        </w:rPr>
        <w:t>《广州市停车场条例》第二十二条第二款、第三十四条第三款，并将第二十五条第一款</w:t>
      </w:r>
      <w:r>
        <w:rPr>
          <w:rFonts w:ascii="仿宋_GB2312" w:hAnsi="仿宋_GB2312" w:hint="eastAsia"/>
          <w:kern w:val="0"/>
          <w:sz w:val="32"/>
        </w:rPr>
        <w:t>中的“</w:t>
      </w:r>
      <w:r>
        <w:rPr>
          <w:rFonts w:ascii="仿宋_GB2312" w:hAnsi="仿宋_GB2312" w:hint="eastAsia"/>
          <w:kern w:val="0"/>
          <w:sz w:val="32"/>
        </w:rPr>
        <w:t>《中华人</w:t>
      </w:r>
      <w:r>
        <w:rPr>
          <w:rFonts w:ascii="仿宋_GB2312" w:hAnsi="仿宋_GB2312" w:cs="仿宋_GB2312" w:hint="eastAsia"/>
          <w:kern w:val="0"/>
          <w:sz w:val="32"/>
        </w:rPr>
        <w:t>民共和国物权法》”修改为“《中华人民共和国民法典》”。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0"/>
          <w:sz w:val="32"/>
        </w:rPr>
      </w:pPr>
      <w:r>
        <w:rPr>
          <w:rFonts w:ascii="仿宋_GB2312" w:hAnsi="仿宋_GB2312" w:cs="仿宋_GB2312" w:hint="eastAsia"/>
          <w:kern w:val="0"/>
          <w:sz w:val="32"/>
        </w:rPr>
        <w:t>七、删除《广州市巡游出租汽车客运管理条例》第四十九条中的“变卖”。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0"/>
          <w:sz w:val="32"/>
        </w:rPr>
      </w:pPr>
      <w:r>
        <w:rPr>
          <w:rFonts w:ascii="仿宋_GB2312" w:hAnsi="仿宋_GB2312" w:cs="仿宋_GB2312" w:hint="eastAsia"/>
          <w:kern w:val="0"/>
          <w:sz w:val="32"/>
        </w:rPr>
        <w:t>八、废止《广州市物业管理条例》第三十六条第一款第（三）项。</w:t>
      </w:r>
    </w:p>
    <w:p>
      <w:pPr>
        <w:pStyle w:val="Normal"/>
        <w:ind w:firstLineChars="200" w:startChars="0" w:start="0" w:endChars="0" w:end="0"/>
        <w:rPr/>
      </w:pPr>
      <w:r>
        <w:rPr>
          <w:rFonts w:ascii="仿宋_GB2312" w:hAnsi="仿宋_GB2312" w:cs="仿宋_GB2312" w:hint="eastAsia"/>
          <w:kern w:val="0"/>
          <w:sz w:val="32"/>
        </w:rPr>
        <w:t>本决定报请广东省人民代表大会常务委员会批准后，自市人民代表大会常务委员会公布之日起生效。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等线">
    <w:altName w:val="宋体"/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方正仿宋_GBK">
    <w:altName w:val="微软雅黑"/>
    <w:charset w:val="86"/>
    <w:family w:val="script"/>
    <w:pitch w:val="default"/>
  </w:font>
  <w:font w:name="Calibri">
    <w:charset w:val="00" w:characterSet="windows-1252"/>
    <w:family w:val="swiss"/>
    <w:pitch w:val="default"/>
  </w:font>
  <w:font w:name="宋体">
    <w:charset w:val="86"/>
    <w:family w:val="auto"/>
    <w:pitch w:val="default"/>
  </w:font>
  <w:font w:name="楷体_GB2312">
    <w:charset w:val="86"/>
    <w:family w:val="modern"/>
    <w:pitch w:val="default"/>
  </w:font>
  <w:font w:name="仿宋_GB2312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Style15"/>
    <w:qFormat/>
    <w:pPr>
      <w:widowControl w:val="false"/>
      <w:bidi w:val="0"/>
      <w:jc w:val="both"/>
    </w:pPr>
    <w:rPr>
      <w:rFonts w:ascii="等线;宋体" w:hAnsi="等线;宋体" w:eastAsia="仿宋_GB2312" w:cs="Times New Roman"/>
      <w:color w:val="auto"/>
      <w:kern w:val="2"/>
      <w:sz w:val="32"/>
      <w:szCs w:val="32"/>
      <w:lang w:bidi="ar-SA" w:val="en-US" w:eastAsia="zh-C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方正仿宋_GBK;微软雅黑" w:hAnsi="方正仿宋_GBK;微软雅黑" w:eastAsia="方正仿宋_GBK;微软雅黑" w:cs="Times New Roman" w:hint="eastAsia"/>
      <w:color w:val="000000"/>
      <w:sz w:val="24"/>
      <w:szCs w:val="22"/>
      <w:lang w:bidi="ar-SA" w:val="en-US" w:eastAsia="zh-CN"/>
    </w:rPr>
  </w:style>
  <w:style w:type="paragraph" w:styleId="TOC4">
    <w:name w:val="toc 4"/>
    <w:basedOn w:val="Normal"/>
    <w:next w:val="Normal"/>
    <w:pPr>
      <w:ind w:firstLineChars="0" w:firstLine="0" w:startChars="600" w:endChars="0" w:end="0"/>
    </w:pPr>
    <w:rPr/>
  </w:style>
  <w:style w:type="paragraph" w:styleId="Style15">
    <w:name w:val="正文缩进"/>
    <w:basedOn w:val="Normal"/>
    <w:next w:val="TOC4"/>
    <w:qFormat/>
    <w:pPr>
      <w:ind w:firstLineChars="200" w:startChars="0" w:start="0" w:endChars="0" w:end="0"/>
    </w:pPr>
    <w:rPr>
      <w:rFonts w:ascii="Calibri" w:hAnsi="Calibri" w:eastAsia="宋体" w:cs="Times New Roma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2021-11-08T12:09:00Z</dcterms:created>
  <dc:creator>谢浩然</dc:creator>
  <dc:description/>
  <dc:language>en-US</dc:language>
  <cp:lastModifiedBy>谢浩然</cp:lastModifiedBy>
  <dcterms:modified xsi:type="dcterms:W3CDTF">2021-11-08T12:10:06Z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2052-10.8.0.6501</vt:lpwstr>
  </property>
</Properties>
</file>