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jc w:val="both"/>
        <w:outlineLvl w:val="9"/>
        <w:rPr>
          <w:rFonts w:hint="eastAsia" w:ascii="宋体" w:hAnsi="宋体" w:eastAsia="宋体" w:cs="宋体"/>
          <w:b w:val="0"/>
          <w:bCs/>
          <w:color w:val="000000"/>
          <w:szCs w:val="32"/>
        </w:rPr>
      </w:pPr>
    </w:p>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jc w:val="both"/>
        <w:outlineLvl w:val="9"/>
        <w:rPr>
          <w:rFonts w:hint="eastAsia" w:ascii="宋体" w:hAnsi="宋体" w:eastAsia="宋体" w:cs="宋体"/>
          <w:b w:val="0"/>
          <w:bCs/>
          <w:color w:val="000000"/>
          <w:szCs w:val="32"/>
        </w:rPr>
      </w:pPr>
    </w:p>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jc w:val="center"/>
        <w:outlineLvl w:val="9"/>
        <w:rPr>
          <w:rFonts w:hint="eastAsia" w:ascii="宋体" w:hAnsi="宋体" w:eastAsia="宋体" w:cs="宋体"/>
          <w:b w:val="0"/>
          <w:bCs/>
          <w:color w:val="000000"/>
          <w:sz w:val="44"/>
          <w:szCs w:val="44"/>
        </w:rPr>
      </w:pPr>
      <w:r>
        <w:rPr>
          <w:rFonts w:hint="eastAsia" w:ascii="宋体" w:hAnsi="宋体" w:eastAsia="宋体" w:cs="宋体"/>
          <w:b w:val="0"/>
          <w:bCs/>
          <w:color w:val="000000"/>
          <w:sz w:val="44"/>
          <w:szCs w:val="44"/>
        </w:rPr>
        <w:t>广东省经纪人管理条例</w:t>
      </w:r>
    </w:p>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jc w:val="center"/>
        <w:outlineLvl w:val="9"/>
        <w:rPr>
          <w:rFonts w:hint="eastAsia" w:ascii="宋体" w:hAnsi="宋体" w:eastAsia="宋体" w:cs="宋体"/>
          <w:b w:val="0"/>
          <w:bCs/>
          <w:color w:val="000000"/>
          <w:szCs w:val="32"/>
        </w:rPr>
      </w:pPr>
    </w:p>
    <w:p>
      <w:pPr>
        <w:pStyle w:val="2"/>
        <w:keepNext w:val="0"/>
        <w:keepLines w:val="0"/>
        <w:pageBreakBefore w:val="0"/>
        <w:widowControl w:val="0"/>
        <w:kinsoku/>
        <w:wordWrap/>
        <w:overflowPunct/>
        <w:topLinePunct w:val="0"/>
        <w:autoSpaceDE/>
        <w:autoSpaceDN/>
        <w:bidi w:val="0"/>
        <w:adjustRightInd w:val="0"/>
        <w:snapToGrid w:val="0"/>
        <w:spacing w:after="0" w:afterLines="0" w:line="560" w:lineRule="exact"/>
        <w:ind w:right="632" w:rightChars="200"/>
        <w:jc w:val="left"/>
        <w:textAlignment w:val="auto"/>
        <w:outlineLvl w:val="9"/>
        <w:rPr>
          <w:rFonts w:hint="eastAsia" w:ascii="宋体" w:hAnsi="宋体" w:eastAsia="宋体" w:cs="宋体"/>
          <w:b w:val="0"/>
          <w:bCs/>
          <w:szCs w:val="32"/>
        </w:rPr>
      </w:pPr>
      <w:r>
        <w:rPr>
          <w:rFonts w:hint="eastAsia" w:ascii="楷体_GB2312" w:hAnsi="华文中宋" w:eastAsia="楷体_GB2312"/>
          <w:b w:val="0"/>
          <w:bCs/>
          <w:szCs w:val="32"/>
        </w:rPr>
        <w:t>（1993年11月16日广东省第八届人民代表大会常务委员会第五次会议通过</w:t>
      </w:r>
      <w:r>
        <w:rPr>
          <w:rFonts w:hint="eastAsia" w:ascii="楷体_GB2312" w:hAnsi="华文中宋" w:eastAsia="楷体_GB2312"/>
          <w:b w:val="0"/>
          <w:bCs/>
          <w:szCs w:val="32"/>
          <w:lang w:val="en-US" w:eastAsia="zh-CN"/>
        </w:rPr>
        <w:t xml:space="preserve">  </w:t>
      </w:r>
      <w:r>
        <w:rPr>
          <w:rFonts w:hint="eastAsia" w:ascii="楷体_GB2312" w:hAnsi="华文中宋" w:eastAsia="楷体_GB2312"/>
          <w:b w:val="0"/>
          <w:bCs/>
          <w:szCs w:val="32"/>
        </w:rPr>
        <w:t>根据1997年5月31日广东省第八届人民代表大会常务委员会第二十九次会议《关于修改〈广东省经纪人管理条例〉的决定》第一次修正  根据2014年9月25日广东省第十二届人民代表大会常务委员会第十一次会议《关于修改〈广东省商品房预售管理条例〉等二十七项地方性法规的决定》第二次修正）</w:t>
      </w:r>
    </w:p>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firstLine="642"/>
        <w:jc w:val="center"/>
        <w:outlineLvl w:val="9"/>
        <w:rPr>
          <w:rFonts w:hint="eastAsia" w:ascii="宋体" w:hAnsi="宋体" w:eastAsia="宋体" w:cs="宋体"/>
          <w:b w:val="0"/>
          <w:bCs/>
          <w:szCs w:val="32"/>
        </w:rPr>
      </w:pPr>
    </w:p>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firstLine="642"/>
        <w:jc w:val="center"/>
        <w:outlineLvl w:val="9"/>
        <w:rPr>
          <w:rFonts w:hint="eastAsia" w:ascii="宋体" w:hAnsi="宋体" w:eastAsia="宋体" w:cs="宋体"/>
          <w:b w:val="0"/>
          <w:bCs/>
          <w:szCs w:val="32"/>
        </w:rPr>
      </w:pPr>
      <w:r>
        <w:rPr>
          <w:rFonts w:hint="eastAsia" w:ascii="楷体_GB2312" w:hAnsi="华文中宋" w:eastAsia="楷体_GB2312"/>
          <w:b w:val="0"/>
          <w:bCs/>
          <w:szCs w:val="32"/>
        </w:rPr>
        <w:t>目    录</w:t>
      </w:r>
    </w:p>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firstLine="642"/>
        <w:jc w:val="center"/>
        <w:outlineLvl w:val="9"/>
        <w:rPr>
          <w:rFonts w:hint="eastAsia" w:ascii="宋体" w:hAnsi="宋体" w:eastAsia="宋体" w:cs="宋体"/>
          <w:b w:val="0"/>
          <w:bCs/>
          <w:szCs w:val="32"/>
        </w:rPr>
      </w:pPr>
    </w:p>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firstLine="632" w:firstLineChars="200"/>
        <w:outlineLvl w:val="9"/>
        <w:rPr>
          <w:rFonts w:hint="eastAsia" w:ascii="楷体_GB2312" w:hAnsi="华文中宋" w:eastAsia="楷体_GB2312"/>
          <w:b w:val="0"/>
          <w:bCs/>
          <w:szCs w:val="32"/>
        </w:rPr>
      </w:pPr>
      <w:r>
        <w:rPr>
          <w:rFonts w:hint="eastAsia" w:ascii="楷体_GB2312" w:hAnsi="华文中宋" w:eastAsia="楷体_GB2312"/>
          <w:b w:val="0"/>
          <w:bCs/>
          <w:szCs w:val="32"/>
        </w:rPr>
        <w:t>第一章  总则</w:t>
      </w:r>
    </w:p>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firstLine="632" w:firstLineChars="200"/>
        <w:outlineLvl w:val="9"/>
        <w:rPr>
          <w:rFonts w:hint="eastAsia" w:ascii="楷体_GB2312" w:hAnsi="华文中宋" w:eastAsia="楷体_GB2312"/>
          <w:b w:val="0"/>
          <w:bCs/>
          <w:szCs w:val="32"/>
        </w:rPr>
      </w:pPr>
      <w:r>
        <w:rPr>
          <w:rFonts w:hint="eastAsia" w:ascii="楷体_GB2312" w:hAnsi="华文中宋" w:eastAsia="楷体_GB2312"/>
          <w:b w:val="0"/>
          <w:bCs/>
          <w:szCs w:val="32"/>
        </w:rPr>
        <w:t>第二章  登记与管理</w:t>
      </w:r>
    </w:p>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firstLine="632" w:firstLineChars="200"/>
        <w:outlineLvl w:val="9"/>
        <w:rPr>
          <w:rFonts w:hint="eastAsia" w:ascii="楷体_GB2312" w:hAnsi="华文中宋" w:eastAsia="楷体_GB2312"/>
          <w:b w:val="0"/>
          <w:bCs/>
          <w:szCs w:val="32"/>
        </w:rPr>
      </w:pPr>
      <w:r>
        <w:rPr>
          <w:rFonts w:hint="eastAsia" w:ascii="楷体_GB2312" w:hAnsi="华文中宋" w:eastAsia="楷体_GB2312"/>
          <w:b w:val="0"/>
          <w:bCs/>
          <w:szCs w:val="32"/>
        </w:rPr>
        <w:t>第三章  经纪活动</w:t>
      </w:r>
    </w:p>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firstLine="632" w:firstLineChars="200"/>
        <w:outlineLvl w:val="9"/>
        <w:rPr>
          <w:rFonts w:hint="eastAsia" w:ascii="楷体_GB2312" w:hAnsi="华文中宋" w:eastAsia="楷体_GB2312"/>
          <w:b w:val="0"/>
          <w:bCs/>
          <w:szCs w:val="32"/>
        </w:rPr>
      </w:pPr>
      <w:r>
        <w:rPr>
          <w:rFonts w:hint="eastAsia" w:ascii="楷体_GB2312" w:hAnsi="华文中宋" w:eastAsia="楷体_GB2312"/>
          <w:b w:val="0"/>
          <w:bCs/>
          <w:szCs w:val="32"/>
        </w:rPr>
        <w:t>第四章  法律责任</w:t>
      </w:r>
    </w:p>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firstLine="632" w:firstLineChars="200"/>
        <w:outlineLvl w:val="9"/>
        <w:rPr>
          <w:rFonts w:hint="eastAsia" w:ascii="楷体_GB2312" w:hAnsi="华文中宋" w:eastAsia="楷体_GB2312"/>
          <w:b w:val="0"/>
          <w:bCs/>
          <w:szCs w:val="32"/>
        </w:rPr>
      </w:pPr>
      <w:r>
        <w:rPr>
          <w:rFonts w:hint="eastAsia" w:ascii="楷体_GB2312" w:hAnsi="华文中宋" w:eastAsia="楷体_GB2312"/>
          <w:b w:val="0"/>
          <w:bCs/>
          <w:szCs w:val="32"/>
        </w:rPr>
        <w:t>第五章  附则</w:t>
      </w:r>
    </w:p>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jc w:val="center"/>
        <w:outlineLvl w:val="9"/>
        <w:rPr>
          <w:rFonts w:hint="eastAsia" w:ascii="宋体" w:hAnsi="宋体" w:eastAsia="宋体" w:cs="宋体"/>
          <w:b w:val="0"/>
          <w:bCs/>
          <w:szCs w:val="32"/>
        </w:rPr>
      </w:pPr>
    </w:p>
    <w:p>
      <w:pPr>
        <w:keepNext w:val="0"/>
        <w:keepLines w:val="0"/>
        <w:pageBreakBefore w:val="0"/>
        <w:widowControl w:val="0"/>
        <w:kinsoku/>
        <w:wordWrap/>
        <w:overflowPunct/>
        <w:topLinePunct w:val="0"/>
        <w:autoSpaceDE/>
        <w:autoSpaceDN/>
        <w:bidi w:val="0"/>
        <w:spacing w:line="560" w:lineRule="exact"/>
        <w:jc w:val="center"/>
        <w:outlineLvl w:val="9"/>
        <w:rPr>
          <w:rFonts w:hint="eastAsia" w:ascii="黑体" w:hAnsi="黑体" w:eastAsia="黑体" w:cs="黑体"/>
          <w:b w:val="0"/>
          <w:bCs/>
          <w:szCs w:val="32"/>
        </w:rPr>
      </w:pPr>
      <w:r>
        <w:rPr>
          <w:rFonts w:hint="eastAsia" w:ascii="黑体" w:hAnsi="黑体" w:eastAsia="黑体" w:cs="黑体"/>
          <w:b w:val="0"/>
          <w:bCs/>
          <w:szCs w:val="32"/>
        </w:rPr>
        <w:t>第一章</w:t>
      </w:r>
      <w:r>
        <w:rPr>
          <w:rFonts w:hint="eastAsia" w:ascii="黑体" w:hAnsi="黑体" w:eastAsia="黑体" w:cs="黑体"/>
          <w:b w:val="0"/>
          <w:bCs/>
          <w:szCs w:val="32"/>
          <w:lang w:val="en-US" w:eastAsia="zh-CN"/>
        </w:rPr>
        <w:t xml:space="preserve">  </w:t>
      </w:r>
      <w:r>
        <w:rPr>
          <w:rFonts w:hint="eastAsia" w:ascii="黑体" w:hAnsi="黑体" w:eastAsia="黑体" w:cs="黑体"/>
          <w:b w:val="0"/>
          <w:bCs/>
          <w:szCs w:val="32"/>
        </w:rPr>
        <w:t>总则</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宋体" w:hAnsi="宋体" w:eastAsia="宋体" w:cs="宋体"/>
          <w:b w:val="0"/>
          <w:bCs/>
          <w:szCs w:val="32"/>
        </w:rPr>
      </w:pP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第一条</w:t>
      </w:r>
      <w:r>
        <w:rPr>
          <w:rFonts w:hint="eastAsia" w:ascii="仿宋_GB2312" w:hAnsi="仿宋_GB2312" w:eastAsia="仿宋_GB2312" w:cs="仿宋_GB2312"/>
          <w:b w:val="0"/>
          <w:bCs/>
          <w:color w:val="000000"/>
          <w:kern w:val="0"/>
          <w:szCs w:val="32"/>
          <w:lang w:val="en-US" w:eastAsia="zh-CN"/>
        </w:rPr>
        <w:t xml:space="preserve">  </w:t>
      </w:r>
      <w:r>
        <w:rPr>
          <w:rFonts w:hint="eastAsia" w:ascii="仿宋_GB2312" w:hAnsi="仿宋_GB2312" w:eastAsia="仿宋_GB2312" w:cs="仿宋_GB2312"/>
          <w:b w:val="0"/>
          <w:bCs/>
          <w:szCs w:val="32"/>
        </w:rPr>
        <w:t>为确立经纪人的法律地位，规范经纪行为，保护经纪人和合同各方的合法权益，维护经济秩序，促进社会主义市场经济的发展，根据《中华人民共和国民法通则》等有关法律、法规的规定，结合本省实际，制定本条例。</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第二条</w:t>
      </w:r>
      <w:r>
        <w:rPr>
          <w:rFonts w:hint="eastAsia" w:ascii="仿宋_GB2312" w:hAnsi="仿宋_GB2312" w:eastAsia="仿宋_GB2312" w:cs="仿宋_GB2312"/>
          <w:b w:val="0"/>
          <w:bCs/>
          <w:color w:val="000000"/>
          <w:kern w:val="0"/>
          <w:szCs w:val="32"/>
          <w:lang w:val="en-US" w:eastAsia="zh-CN"/>
        </w:rPr>
        <w:t xml:space="preserve">  </w:t>
      </w:r>
      <w:r>
        <w:rPr>
          <w:rFonts w:hint="eastAsia" w:ascii="仿宋_GB2312" w:hAnsi="仿宋_GB2312" w:eastAsia="仿宋_GB2312" w:cs="仿宋_GB2312"/>
          <w:b w:val="0"/>
          <w:bCs/>
          <w:szCs w:val="32"/>
        </w:rPr>
        <w:t>经纪人是指依照本条例规定，为合同各方提供中介服务并收取佣金的公民或者经济组织。</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中介服务包括以订立合同为目的，为合同各方提供信息以及经纪人在委托方要求不公开姓名或者名称于合同他方时，代委托方与合同他方达成协议的行为。</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委托方是指委托经纪人为其提供中介服务的当事人。</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第三条</w:t>
      </w:r>
      <w:r>
        <w:rPr>
          <w:rFonts w:hint="eastAsia" w:ascii="仿宋_GB2312" w:hAnsi="仿宋_GB2312" w:eastAsia="仿宋_GB2312" w:cs="仿宋_GB2312"/>
          <w:b w:val="0"/>
          <w:bCs/>
          <w:color w:val="000000"/>
          <w:kern w:val="0"/>
          <w:szCs w:val="32"/>
          <w:lang w:val="en-US" w:eastAsia="zh-CN"/>
        </w:rPr>
        <w:t xml:space="preserve">  </w:t>
      </w:r>
      <w:r>
        <w:rPr>
          <w:rFonts w:hint="eastAsia" w:ascii="仿宋_GB2312" w:hAnsi="仿宋_GB2312" w:eastAsia="仿宋_GB2312" w:cs="仿宋_GB2312"/>
          <w:b w:val="0"/>
          <w:bCs/>
          <w:szCs w:val="32"/>
        </w:rPr>
        <w:t>经纪人依照本条例进行的经纪活动受法律保护。</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经纪人从事经纪活动应当遵守法律、法规，遵循自愿、公平、平等互利、诚实信用的原则。</w:t>
      </w:r>
    </w:p>
    <w:p>
      <w:pPr>
        <w:keepNext w:val="0"/>
        <w:keepLines w:val="0"/>
        <w:pageBreakBefore w:val="0"/>
        <w:widowControl w:val="0"/>
        <w:kinsoku/>
        <w:wordWrap/>
        <w:overflowPunct/>
        <w:topLinePunct w:val="0"/>
        <w:autoSpaceDE/>
        <w:autoSpaceDN/>
        <w:bidi w:val="0"/>
        <w:spacing w:line="560" w:lineRule="exact"/>
        <w:ind w:firstLine="632" w:firstLineChars="200"/>
        <w:textAlignment w:val="baseline"/>
        <w:outlineLvl w:val="9"/>
        <w:rPr>
          <w:rFonts w:hint="eastAsia" w:ascii="仿宋_GB2312" w:hAnsi="仿宋_GB2312" w:eastAsia="仿宋_GB2312" w:cs="仿宋_GB2312"/>
          <w:b w:val="0"/>
          <w:bCs/>
          <w:szCs w:val="32"/>
        </w:rPr>
      </w:pPr>
      <w:r>
        <w:rPr>
          <w:rFonts w:hint="eastAsia" w:ascii="黑体" w:hAnsi="黑体" w:eastAsia="黑体" w:cs="黑体"/>
          <w:b w:val="0"/>
          <w:bCs/>
          <w:szCs w:val="32"/>
        </w:rPr>
        <w:t>第四条</w:t>
      </w:r>
      <w:r>
        <w:rPr>
          <w:rFonts w:hint="eastAsia" w:ascii="仿宋_GB2312" w:hAnsi="仿宋_GB2312" w:eastAsia="仿宋_GB2312" w:cs="仿宋_GB2312"/>
          <w:b w:val="0"/>
          <w:bCs/>
          <w:color w:val="000000"/>
          <w:kern w:val="0"/>
          <w:szCs w:val="32"/>
          <w:lang w:val="en-US" w:eastAsia="zh-CN"/>
        </w:rPr>
        <w:t xml:space="preserve">  </w:t>
      </w:r>
      <w:r>
        <w:rPr>
          <w:rFonts w:hint="eastAsia" w:ascii="仿宋_GB2312" w:hAnsi="仿宋_GB2312" w:eastAsia="仿宋_GB2312" w:cs="仿宋_GB2312"/>
          <w:b w:val="0"/>
          <w:bCs/>
          <w:szCs w:val="32"/>
        </w:rPr>
        <w:t>本条例适用于本省行政区域内进行的经纪活动。法律、法规另有规定的，从其规定。</w:t>
      </w:r>
    </w:p>
    <w:p>
      <w:pPr>
        <w:keepNext w:val="0"/>
        <w:keepLines w:val="0"/>
        <w:pageBreakBefore w:val="0"/>
        <w:widowControl w:val="0"/>
        <w:kinsoku/>
        <w:wordWrap/>
        <w:overflowPunct/>
        <w:topLinePunct w:val="0"/>
        <w:autoSpaceDE/>
        <w:autoSpaceDN/>
        <w:bidi w:val="0"/>
        <w:spacing w:line="560" w:lineRule="exact"/>
        <w:ind w:firstLine="632" w:firstLineChars="200"/>
        <w:jc w:val="center"/>
        <w:textAlignment w:val="baseline"/>
        <w:outlineLvl w:val="9"/>
        <w:rPr>
          <w:rFonts w:hint="eastAsia" w:ascii="宋体" w:hAnsi="宋体" w:eastAsia="宋体" w:cs="宋体"/>
          <w:b w:val="0"/>
          <w:bCs/>
          <w:szCs w:val="32"/>
        </w:rPr>
      </w:pPr>
    </w:p>
    <w:p>
      <w:pPr>
        <w:keepNext w:val="0"/>
        <w:keepLines w:val="0"/>
        <w:pageBreakBefore w:val="0"/>
        <w:widowControl w:val="0"/>
        <w:kinsoku/>
        <w:wordWrap/>
        <w:overflowPunct/>
        <w:topLinePunct w:val="0"/>
        <w:autoSpaceDE/>
        <w:autoSpaceDN/>
        <w:bidi w:val="0"/>
        <w:spacing w:line="560" w:lineRule="exact"/>
        <w:jc w:val="center"/>
        <w:outlineLvl w:val="9"/>
        <w:rPr>
          <w:rFonts w:hint="eastAsia" w:ascii="仿宋_GB2312" w:hAnsi="仿宋_GB2312" w:eastAsia="仿宋_GB2312" w:cs="仿宋_GB2312"/>
          <w:b w:val="0"/>
          <w:bCs/>
          <w:szCs w:val="32"/>
        </w:rPr>
      </w:pPr>
      <w:r>
        <w:rPr>
          <w:rFonts w:hint="eastAsia" w:ascii="黑体" w:hAnsi="黑体" w:eastAsia="黑体" w:cs="黑体"/>
          <w:b w:val="0"/>
          <w:bCs/>
          <w:szCs w:val="32"/>
        </w:rPr>
        <w:t>第二章</w:t>
      </w:r>
      <w:r>
        <w:rPr>
          <w:rFonts w:hint="eastAsia" w:ascii="黑体" w:hAnsi="黑体" w:eastAsia="黑体" w:cs="黑体"/>
          <w:b w:val="0"/>
          <w:bCs/>
          <w:szCs w:val="32"/>
          <w:lang w:val="en-US" w:eastAsia="zh-CN"/>
        </w:rPr>
        <w:t xml:space="preserve">  </w:t>
      </w:r>
      <w:r>
        <w:rPr>
          <w:rFonts w:hint="eastAsia" w:ascii="黑体" w:hAnsi="黑体" w:eastAsia="黑体" w:cs="黑体"/>
          <w:b w:val="0"/>
          <w:bCs/>
          <w:szCs w:val="32"/>
        </w:rPr>
        <w:t>登记与管理</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宋体" w:hAnsi="宋体" w:eastAsia="宋体" w:cs="宋体"/>
          <w:b w:val="0"/>
          <w:bCs/>
          <w:szCs w:val="32"/>
        </w:rPr>
      </w:pP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第五条</w:t>
      </w:r>
      <w:r>
        <w:rPr>
          <w:rFonts w:hint="eastAsia" w:ascii="仿宋_GB2312" w:hAnsi="仿宋_GB2312" w:eastAsia="仿宋_GB2312" w:cs="仿宋_GB2312"/>
          <w:b w:val="0"/>
          <w:bCs/>
          <w:color w:val="000000"/>
          <w:kern w:val="0"/>
          <w:szCs w:val="32"/>
          <w:lang w:val="en-US" w:eastAsia="zh-CN"/>
        </w:rPr>
        <w:t xml:space="preserve">  </w:t>
      </w:r>
      <w:r>
        <w:rPr>
          <w:rFonts w:hint="eastAsia" w:ascii="仿宋_GB2312" w:hAnsi="仿宋_GB2312" w:eastAsia="仿宋_GB2312" w:cs="仿宋_GB2312"/>
          <w:b w:val="0"/>
          <w:bCs/>
          <w:szCs w:val="32"/>
        </w:rPr>
        <w:t>县级以上工商行政管理机关是经纪人登记、管理的主管机关。</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主管机关的主要职责是：</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（一）对申请从事经纪活动的公民或者经济组织进行资格审查、核准登记、颁发营业执照；办理经纪人的变更、注销登记和年检；</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（二）依照本条例和有关法律、法规的规定对经纪人的经纪活动进行监督和管理，保护合法经营，查处违法行为；</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（三）对经纪人协会的工作进行指导；</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（四）法律、法规规定的其他职责。</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经纪人的培训工作，由省人民政府指定具备条件的高等学校承担。</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第六条</w:t>
      </w:r>
      <w:r>
        <w:rPr>
          <w:rFonts w:hint="eastAsia" w:ascii="仿宋_GB2312" w:hAnsi="仿宋_GB2312" w:eastAsia="仿宋_GB2312" w:cs="仿宋_GB2312"/>
          <w:b w:val="0"/>
          <w:bCs/>
          <w:color w:val="000000"/>
          <w:kern w:val="0"/>
          <w:szCs w:val="32"/>
          <w:lang w:val="en-US" w:eastAsia="zh-CN"/>
        </w:rPr>
        <w:t xml:space="preserve">  </w:t>
      </w:r>
      <w:r>
        <w:rPr>
          <w:rFonts w:hint="eastAsia" w:ascii="仿宋_GB2312" w:hAnsi="仿宋_GB2312" w:eastAsia="仿宋_GB2312" w:cs="仿宋_GB2312"/>
          <w:b w:val="0"/>
          <w:bCs/>
          <w:szCs w:val="32"/>
        </w:rPr>
        <w:t>经纪人可以参加经纪人协会。</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经纪人协会应当维护经纪人的合法权益，对经纪人的活动进行指导、约束和协调，并协助主管机关对经纪人的活动进行监督和管理。</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第七条</w:t>
      </w:r>
      <w:r>
        <w:rPr>
          <w:rFonts w:hint="eastAsia" w:ascii="仿宋_GB2312" w:hAnsi="仿宋_GB2312" w:eastAsia="仿宋_GB2312" w:cs="仿宋_GB2312"/>
          <w:b w:val="0"/>
          <w:bCs/>
          <w:color w:val="000000"/>
          <w:kern w:val="0"/>
          <w:szCs w:val="32"/>
          <w:lang w:val="en-US" w:eastAsia="zh-CN"/>
        </w:rPr>
        <w:t xml:space="preserve">  </w:t>
      </w:r>
      <w:r>
        <w:rPr>
          <w:rFonts w:hint="eastAsia" w:ascii="仿宋_GB2312" w:hAnsi="仿宋_GB2312" w:eastAsia="仿宋_GB2312" w:cs="仿宋_GB2312"/>
          <w:b w:val="0"/>
          <w:bCs/>
          <w:szCs w:val="32"/>
        </w:rPr>
        <w:t>公民申请登记注册为经纪人应当具备以下条件：</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（一）具有完全民事行为能力；</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（二）有三年以上实际工作经历；</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（三）经考核取得经纪人资格证书；</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（四）有固定住所。</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第八条</w:t>
      </w:r>
      <w:r>
        <w:rPr>
          <w:rFonts w:hint="eastAsia" w:ascii="仿宋_GB2312" w:hAnsi="仿宋_GB2312" w:eastAsia="仿宋_GB2312" w:cs="仿宋_GB2312"/>
          <w:b w:val="0"/>
          <w:bCs/>
          <w:color w:val="000000"/>
          <w:kern w:val="0"/>
          <w:szCs w:val="32"/>
          <w:lang w:val="en-US" w:eastAsia="zh-CN"/>
        </w:rPr>
        <w:t xml:space="preserve">  </w:t>
      </w:r>
      <w:r>
        <w:rPr>
          <w:rFonts w:hint="eastAsia" w:ascii="仿宋_GB2312" w:hAnsi="仿宋_GB2312" w:eastAsia="仿宋_GB2312" w:cs="仿宋_GB2312"/>
          <w:b w:val="0"/>
          <w:bCs/>
          <w:szCs w:val="32"/>
        </w:rPr>
        <w:t>设立经纪人公司或者经纪人事务所应当具备以下条件：</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（一）有认缴登记的注册资本；</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（二）有自己的名称、组织机构和固定场所；</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（三）能够独立承担民事责任；</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（四）有三人以上取得经纪人资格证书。</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具备法人条件的经纪人组织依法取得法人资格。</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第九条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下列人员不得取得经纪人资格：</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cs="仿宋_GB2312"/>
          <w:b w:val="0"/>
          <w:bCs/>
          <w:szCs w:val="32"/>
          <w:lang w:val="en-US" w:eastAsia="zh-CN"/>
        </w:rPr>
        <w:t xml:space="preserve">    </w:t>
      </w:r>
      <w:r>
        <w:rPr>
          <w:rFonts w:hint="eastAsia" w:cs="仿宋_GB2312"/>
          <w:b w:val="0"/>
          <w:bCs/>
          <w:szCs w:val="32"/>
          <w:lang w:eastAsia="zh-CN"/>
        </w:rPr>
        <w:t>（一）</w:t>
      </w:r>
      <w:r>
        <w:rPr>
          <w:rFonts w:hint="eastAsia" w:ascii="仿宋_GB2312" w:hAnsi="仿宋_GB2312" w:eastAsia="仿宋_GB2312" w:cs="仿宋_GB2312"/>
          <w:b w:val="0"/>
          <w:bCs/>
          <w:szCs w:val="32"/>
        </w:rPr>
        <w:t>国家机关现职公职人员；</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cs="仿宋_GB2312"/>
          <w:b w:val="0"/>
          <w:bCs/>
          <w:szCs w:val="32"/>
          <w:lang w:val="en-US" w:eastAsia="zh-CN"/>
        </w:rPr>
        <w:t xml:space="preserve">    </w:t>
      </w:r>
      <w:r>
        <w:rPr>
          <w:rFonts w:hint="eastAsia" w:cs="仿宋_GB2312"/>
          <w:b w:val="0"/>
          <w:bCs/>
          <w:szCs w:val="32"/>
          <w:lang w:eastAsia="zh-CN"/>
        </w:rPr>
        <w:t>（二）</w:t>
      </w:r>
      <w:r>
        <w:rPr>
          <w:rFonts w:hint="eastAsia" w:ascii="仿宋_GB2312" w:hAnsi="仿宋_GB2312" w:eastAsia="仿宋_GB2312" w:cs="仿宋_GB2312"/>
          <w:b w:val="0"/>
          <w:bCs/>
          <w:szCs w:val="32"/>
        </w:rPr>
        <w:t>因犯诈骗罪被判处刑罚</w:t>
      </w:r>
      <w:r>
        <w:rPr>
          <w:rFonts w:hint="eastAsia" w:cs="仿宋_GB2312"/>
          <w:b w:val="0"/>
          <w:bCs/>
          <w:szCs w:val="32"/>
          <w:lang w:eastAsia="zh-CN"/>
        </w:rPr>
        <w:t>，</w:t>
      </w:r>
      <w:r>
        <w:rPr>
          <w:rFonts w:hint="eastAsia" w:ascii="仿宋_GB2312" w:hAnsi="仿宋_GB2312" w:eastAsia="仿宋_GB2312" w:cs="仿宋_GB2312"/>
          <w:b w:val="0"/>
          <w:bCs/>
          <w:szCs w:val="32"/>
        </w:rPr>
        <w:t>刑罚执行完毕后不足三年的；</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cs="仿宋_GB2312"/>
          <w:b w:val="0"/>
          <w:bCs/>
          <w:szCs w:val="32"/>
          <w:lang w:val="en-US" w:eastAsia="zh-CN"/>
        </w:rPr>
        <w:t xml:space="preserve">    </w:t>
      </w:r>
      <w:r>
        <w:rPr>
          <w:rFonts w:hint="eastAsia" w:ascii="仿宋_GB2312" w:hAnsi="仿宋_GB2312" w:eastAsia="仿宋_GB2312" w:cs="仿宋_GB2312"/>
          <w:b w:val="0"/>
          <w:bCs/>
          <w:szCs w:val="32"/>
        </w:rPr>
        <w:t>（三）法律、法规规定不得从事商业活动的人员。</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第十条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经纪人登记的内容包括：名称、经纪人的姓名和住所、辅助工作人员人数、资金数额、组成形式、组织章程、经纪人业务范围、固定场所等。</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经纪人登记的内容可供公开查询。</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第十一条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凡符合经纪人条件的公民和经济组织，必须经主管机关核准登记注册，领取营业执照后方可开展经纪业务。</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主管机关应当在接到公民或者经济组织申请之日起三十日内，对符合条件的，核发营业执照；对不符合条件的，作出不发证照的书面决定并通知当事人。</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宋体" w:hAnsi="宋体" w:eastAsia="宋体" w:cs="宋体"/>
          <w:b w:val="0"/>
          <w:bCs/>
          <w:szCs w:val="32"/>
        </w:rPr>
      </w:pPr>
    </w:p>
    <w:p>
      <w:pPr>
        <w:keepNext w:val="0"/>
        <w:keepLines w:val="0"/>
        <w:pageBreakBefore w:val="0"/>
        <w:widowControl w:val="0"/>
        <w:kinsoku/>
        <w:wordWrap/>
        <w:overflowPunct/>
        <w:topLinePunct w:val="0"/>
        <w:autoSpaceDE/>
        <w:autoSpaceDN/>
        <w:bidi w:val="0"/>
        <w:spacing w:line="560" w:lineRule="exact"/>
        <w:jc w:val="center"/>
        <w:textAlignment w:val="baseline"/>
        <w:outlineLvl w:val="9"/>
        <w:rPr>
          <w:rFonts w:hint="eastAsia" w:ascii="仿宋_GB2312" w:hAnsi="仿宋_GB2312" w:eastAsia="仿宋_GB2312" w:cs="仿宋_GB2312"/>
          <w:b w:val="0"/>
          <w:bCs/>
          <w:szCs w:val="32"/>
        </w:rPr>
      </w:pPr>
      <w:r>
        <w:rPr>
          <w:rFonts w:hint="eastAsia" w:ascii="黑体" w:hAnsi="黑体" w:eastAsia="黑体" w:cs="黑体"/>
          <w:b w:val="0"/>
          <w:bCs/>
          <w:szCs w:val="32"/>
        </w:rPr>
        <w:t>第三</w:t>
      </w:r>
      <w:r>
        <w:rPr>
          <w:rFonts w:hint="eastAsia" w:ascii="黑体" w:hAnsi="黑体" w:eastAsia="黑体" w:cs="黑体"/>
          <w:b w:val="0"/>
          <w:bCs/>
          <w:szCs w:val="32"/>
          <w:lang w:eastAsia="zh-CN"/>
        </w:rPr>
        <w:t>章</w:t>
      </w:r>
      <w:r>
        <w:rPr>
          <w:rFonts w:hint="eastAsia" w:ascii="黑体" w:hAnsi="黑体" w:eastAsia="黑体" w:cs="黑体"/>
          <w:b w:val="0"/>
          <w:bCs/>
          <w:szCs w:val="32"/>
          <w:lang w:val="en-US" w:eastAsia="zh-CN"/>
        </w:rPr>
        <w:t xml:space="preserve">  </w:t>
      </w:r>
      <w:r>
        <w:rPr>
          <w:rFonts w:hint="eastAsia" w:ascii="黑体" w:hAnsi="黑体" w:eastAsia="黑体" w:cs="黑体"/>
          <w:b w:val="0"/>
          <w:bCs/>
          <w:szCs w:val="32"/>
        </w:rPr>
        <w:t>经纪活动</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宋体" w:hAnsi="宋体" w:eastAsia="宋体" w:cs="宋体"/>
          <w:b w:val="0"/>
          <w:bCs/>
          <w:szCs w:val="32"/>
        </w:rPr>
      </w:pP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第十二条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经纪人开展业务除即时清结者外，应当与合同各方订立书面经纪合同。</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经纪合同应当载明双方当事人的姓名或者名称，经纪事项、期限、要求，样品保管，佣金的数额、给付方式和时间，经纪活动的费用负担，违约责任以及当事人认为应载明的其他事项。</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第十三条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经纪人开展业务活动应当如实向合同各方提供中介服务的有关情况。</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第十四条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经纪人开展业务活动必须保持业务记录，该记录应当包括本条例第十二条规定的内容。</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当主管机关或者司法机关查询时，经纪人应当提交其业务记录。</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经纪人应当保守当事人的商业秘密。</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第十五条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经纪人开展业务必须设立账簿。账簿上应当记明开展业务所支出的费用、收取的佣金以及财务制度所要求记明的其他内容。</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第十六条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在合同主要因经纪人提供中介服务而成立时，经纪人有取得佣金的权利。</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经纪人的佣金由合同各方平均分担，但有特别约定的除外。</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经纪人开展业务所收取的具体佣金数额由经纪人与合同各方约定。没有约定的，参照本条例所附的收费标准收取。</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第十七条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经纪人应当依法纳税。</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第十八条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经纪人从事经纪业务，不得有以下行为：</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cs="仿宋_GB2312"/>
          <w:b w:val="0"/>
          <w:bCs/>
          <w:szCs w:val="32"/>
          <w:lang w:val="en-US" w:eastAsia="zh-CN"/>
        </w:rPr>
        <w:t xml:space="preserve">    </w:t>
      </w:r>
      <w:r>
        <w:rPr>
          <w:rFonts w:hint="eastAsia" w:cs="仿宋_GB2312"/>
          <w:b w:val="0"/>
          <w:bCs/>
          <w:szCs w:val="32"/>
          <w:lang w:eastAsia="zh-CN"/>
        </w:rPr>
        <w:t>（一）</w:t>
      </w:r>
      <w:r>
        <w:rPr>
          <w:rFonts w:hint="eastAsia" w:ascii="仿宋_GB2312" w:hAnsi="仿宋_GB2312" w:eastAsia="仿宋_GB2312" w:cs="仿宋_GB2312"/>
          <w:b w:val="0"/>
          <w:bCs/>
          <w:szCs w:val="32"/>
        </w:rPr>
        <w:t>对法律</w:t>
      </w:r>
      <w:r>
        <w:rPr>
          <w:rFonts w:hint="eastAsia" w:cs="仿宋_GB2312"/>
          <w:b w:val="0"/>
          <w:bCs/>
          <w:szCs w:val="32"/>
          <w:lang w:eastAsia="zh-CN"/>
        </w:rPr>
        <w:t>、</w:t>
      </w:r>
      <w:r>
        <w:rPr>
          <w:rFonts w:hint="eastAsia" w:ascii="仿宋_GB2312" w:hAnsi="仿宋_GB2312" w:eastAsia="仿宋_GB2312" w:cs="仿宋_GB2312"/>
          <w:b w:val="0"/>
          <w:bCs/>
          <w:szCs w:val="32"/>
        </w:rPr>
        <w:t>法规禁止在市场流通的物品的交易进行中介；</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（二）在中介活动中采取恐吓、欺诈、行贿等手段；</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（三）为无履约能力或者无签约能力的人进行中介；</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（四）法律、法规和本条例规定禁止的其他行为。</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p>
    <w:p>
      <w:pPr>
        <w:keepNext w:val="0"/>
        <w:keepLines w:val="0"/>
        <w:pageBreakBefore w:val="0"/>
        <w:widowControl w:val="0"/>
        <w:kinsoku/>
        <w:wordWrap/>
        <w:overflowPunct/>
        <w:topLinePunct w:val="0"/>
        <w:autoSpaceDE/>
        <w:autoSpaceDN/>
        <w:bidi w:val="0"/>
        <w:spacing w:line="560" w:lineRule="exact"/>
        <w:jc w:val="center"/>
        <w:outlineLvl w:val="9"/>
        <w:rPr>
          <w:rFonts w:hint="eastAsia" w:ascii="仿宋_GB2312" w:hAnsi="仿宋_GB2312" w:eastAsia="仿宋_GB2312" w:cs="仿宋_GB2312"/>
          <w:b w:val="0"/>
          <w:bCs/>
          <w:szCs w:val="32"/>
        </w:rPr>
      </w:pPr>
      <w:r>
        <w:rPr>
          <w:rFonts w:hint="eastAsia" w:ascii="黑体" w:hAnsi="黑体" w:eastAsia="黑体" w:cs="黑体"/>
          <w:b w:val="0"/>
          <w:bCs/>
          <w:szCs w:val="32"/>
        </w:rPr>
        <w:t>第四章</w:t>
      </w:r>
      <w:r>
        <w:rPr>
          <w:rFonts w:hint="eastAsia" w:ascii="黑体" w:hAnsi="黑体" w:eastAsia="黑体" w:cs="黑体"/>
          <w:b w:val="0"/>
          <w:bCs/>
          <w:szCs w:val="32"/>
          <w:lang w:val="en-US" w:eastAsia="zh-CN"/>
        </w:rPr>
        <w:t xml:space="preserve">  </w:t>
      </w:r>
      <w:r>
        <w:rPr>
          <w:rFonts w:hint="eastAsia" w:ascii="黑体" w:hAnsi="黑体" w:eastAsia="黑体" w:cs="黑体"/>
          <w:b w:val="0"/>
          <w:bCs/>
          <w:szCs w:val="32"/>
        </w:rPr>
        <w:t>法律责任</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宋体" w:hAnsi="宋体" w:eastAsia="宋体" w:cs="宋体"/>
          <w:b w:val="0"/>
          <w:bCs/>
          <w:szCs w:val="32"/>
        </w:rPr>
      </w:pP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第十九条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违反第十一条第一款规定的，由主管机关没收违法所得，可以并处佣金一倍以上三倍以下的罚款。</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第二十条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经纪人没有过错的，对合同是否履行不承担责任；有过错的，应当承担相应的赔偿责任。</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第二十一条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经纪人按委托方要求不将姓名或者名称明示合同他方时，委托方如不履行合同，经纪人负有向合同他方履行合同的责任。</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经纪人承担前款责任后，有权向该委托方追偿。</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第二十二条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经纪人违反经纪合同规定的义务，作出损害合同任何一方的行为的，不得向合同各方收取佣金并负赔偿责任。</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第二十三条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经纪人违反第十三条规定，给合同当事人造成经济损失的，应当予以赔偿。</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第二十四条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经纪人违反第十四条第一款、第二款规定的，由主管机关给予警告，可以并处100元以上500元以下罚款。</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经纪人违反第十四条第三款规定，给合同当事人造成经济损失的，应当予以赔偿。</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第二十五条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合同各方违反经纪合同的，应当负违约责任，并赔偿经纪人的经济损失。</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第二十六条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经纪人违反第十五条和第十七条规定的，由财税部门查处。</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第二十七条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违反第十八条规定的，由主管机关根据情节，给予警告、没收违法所得、责令停业整顿的处罚，可以并处以佣金的一倍以上三倍以下或者500元以上5000元以下的罚款。触犯刑律的，由司法机关依法追究刑事责任。</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如前款规定的经纪人为企业，须给予吊销企业营业执照处罚的，应当依照法律或者行政法规的规定办理。</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黑体" w:hAnsi="黑体" w:eastAsia="黑体" w:cs="黑体"/>
          <w:b w:val="0"/>
          <w:bCs/>
          <w:szCs w:val="32"/>
        </w:rPr>
        <w:t>第二十八条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对处罚决定不服的，可以依照《中华人民共和国行政复议法》申请复议或者依法向人民法院提起诉讼。超过法定期限不申请复议、不起诉，又不履行处罚决定的，由作出处罚决定的机关申请人民法院强制执行。</w:t>
      </w:r>
    </w:p>
    <w:p>
      <w:pPr>
        <w:keepNext w:val="0"/>
        <w:keepLines w:val="0"/>
        <w:pageBreakBefore w:val="0"/>
        <w:widowControl w:val="0"/>
        <w:kinsoku/>
        <w:wordWrap/>
        <w:overflowPunct/>
        <w:topLinePunct w:val="0"/>
        <w:autoSpaceDE/>
        <w:autoSpaceDN/>
        <w:bidi w:val="0"/>
        <w:spacing w:line="560" w:lineRule="exact"/>
        <w:ind w:firstLine="632" w:firstLineChars="200"/>
        <w:textAlignment w:val="baseline"/>
        <w:outlineLvl w:val="9"/>
        <w:rPr>
          <w:rFonts w:hint="eastAsia" w:ascii="仿宋_GB2312" w:hAnsi="仿宋_GB2312" w:eastAsia="仿宋_GB2312" w:cs="仿宋_GB2312"/>
          <w:b w:val="0"/>
          <w:bCs/>
          <w:szCs w:val="32"/>
        </w:rPr>
      </w:pPr>
      <w:r>
        <w:rPr>
          <w:rFonts w:hint="eastAsia" w:ascii="黑体" w:hAnsi="黑体" w:eastAsia="黑体" w:cs="黑体"/>
          <w:b w:val="0"/>
          <w:bCs/>
          <w:szCs w:val="32"/>
        </w:rPr>
        <w:t>第二十九条</w:t>
      </w:r>
      <w:r>
        <w:rPr>
          <w:rFonts w:hint="eastAsia" w:ascii="仿宋_GB2312" w:hAnsi="仿宋_GB2312" w:eastAsia="仿宋_GB2312" w:cs="仿宋_GB2312"/>
          <w:b w:val="0"/>
          <w:bCs w:val="0"/>
          <w:color w:val="000000"/>
          <w:kern w:val="0"/>
          <w:szCs w:val="32"/>
          <w:lang w:val="en-US" w:eastAsia="zh-CN"/>
        </w:rPr>
        <w:t xml:space="preserve">  </w:t>
      </w:r>
      <w:r>
        <w:rPr>
          <w:rFonts w:hint="eastAsia" w:ascii="仿宋_GB2312" w:hAnsi="仿宋_GB2312" w:eastAsia="仿宋_GB2312" w:cs="仿宋_GB2312"/>
          <w:b w:val="0"/>
          <w:bCs/>
          <w:szCs w:val="32"/>
        </w:rPr>
        <w:t>经纪人与合同各方发生争议时，当事人可以通过协商或者调解解决。当事人不愿协商、调解解决或者协商、调解不成的，可以依据经纪合同中的仲裁条款或者事后达成的书面仲裁协议，向仲裁机构申请仲裁。当事人没有在经纪合同中订立仲裁条款，事后又没有达成书面仲裁协议的，可以向人民法院起诉。当事人在规定的期限内不履行仲裁机构的仲裁裁决的，另一方可以申请人民法院强制执行。</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宋体" w:hAnsi="宋体" w:eastAsia="宋体" w:cs="宋体"/>
          <w:b w:val="0"/>
          <w:bCs/>
          <w:szCs w:val="32"/>
        </w:rPr>
      </w:pPr>
    </w:p>
    <w:p>
      <w:pPr>
        <w:keepNext w:val="0"/>
        <w:keepLines w:val="0"/>
        <w:pageBreakBefore w:val="0"/>
        <w:widowControl w:val="0"/>
        <w:kinsoku/>
        <w:wordWrap/>
        <w:overflowPunct/>
        <w:topLinePunct w:val="0"/>
        <w:autoSpaceDE/>
        <w:autoSpaceDN/>
        <w:bidi w:val="0"/>
        <w:spacing w:line="560" w:lineRule="exact"/>
        <w:jc w:val="center"/>
        <w:outlineLvl w:val="9"/>
        <w:rPr>
          <w:rFonts w:hint="eastAsia" w:ascii="仿宋_GB2312" w:hAnsi="仿宋_GB2312" w:eastAsia="仿宋_GB2312" w:cs="仿宋_GB2312"/>
          <w:b w:val="0"/>
          <w:bCs/>
          <w:szCs w:val="32"/>
        </w:rPr>
      </w:pPr>
      <w:r>
        <w:rPr>
          <w:rFonts w:hint="eastAsia" w:ascii="黑体" w:hAnsi="黑体" w:eastAsia="黑体" w:cs="黑体"/>
          <w:b w:val="0"/>
          <w:bCs/>
          <w:szCs w:val="32"/>
        </w:rPr>
        <w:t>第五章</w:t>
      </w:r>
      <w:r>
        <w:rPr>
          <w:rFonts w:hint="eastAsia" w:ascii="黑体" w:hAnsi="黑体" w:eastAsia="黑体" w:cs="黑体"/>
          <w:b w:val="0"/>
          <w:bCs/>
          <w:szCs w:val="32"/>
          <w:lang w:val="en-US" w:eastAsia="zh-CN"/>
        </w:rPr>
        <w:t xml:space="preserve">  </w:t>
      </w:r>
      <w:r>
        <w:rPr>
          <w:rFonts w:hint="eastAsia" w:ascii="黑体" w:hAnsi="黑体" w:eastAsia="黑体" w:cs="黑体"/>
          <w:b w:val="0"/>
          <w:bCs/>
          <w:szCs w:val="32"/>
        </w:rPr>
        <w:t>附则</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宋体" w:hAnsi="宋体" w:eastAsia="宋体" w:cs="宋体"/>
          <w:b w:val="0"/>
          <w:bCs/>
          <w:szCs w:val="32"/>
        </w:rPr>
      </w:pP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w:t>
      </w:r>
      <w:r>
        <w:rPr>
          <w:rFonts w:hint="eastAsia" w:ascii="仿宋_GB2312" w:hAnsi="仿宋_GB2312" w:eastAsia="仿宋_GB2312" w:cs="仿宋_GB2312"/>
          <w:b w:val="0"/>
          <w:bCs/>
          <w:szCs w:val="32"/>
          <w:lang w:val="en-US" w:eastAsia="zh-CN"/>
        </w:rPr>
        <w:t xml:space="preserve">  </w:t>
      </w:r>
      <w:r>
        <w:rPr>
          <w:rFonts w:hint="eastAsia" w:ascii="黑体" w:hAnsi="黑体" w:eastAsia="黑体" w:cs="黑体"/>
          <w:b w:val="0"/>
          <w:bCs/>
          <w:szCs w:val="32"/>
          <w:lang w:val="en-US" w:eastAsia="zh-CN"/>
        </w:rPr>
        <w:t>第三十条</w:t>
      </w:r>
      <w:r>
        <w:rPr>
          <w:rFonts w:hint="eastAsia" w:cs="仿宋_GB2312"/>
          <w:b w:val="0"/>
          <w:bCs/>
          <w:szCs w:val="32"/>
          <w:lang w:val="en-US" w:eastAsia="zh-CN"/>
        </w:rPr>
        <w:t xml:space="preserve">  </w:t>
      </w:r>
      <w:r>
        <w:rPr>
          <w:rFonts w:hint="eastAsia" w:ascii="仿宋_GB2312" w:hAnsi="仿宋_GB2312" w:eastAsia="仿宋_GB2312" w:cs="仿宋_GB2312"/>
          <w:b w:val="0"/>
          <w:bCs/>
          <w:szCs w:val="32"/>
        </w:rPr>
        <w:t>本条例</w:t>
      </w:r>
      <w:bookmarkStart w:id="0" w:name="_GoBack"/>
      <w:bookmarkEnd w:id="0"/>
      <w:r>
        <w:rPr>
          <w:rFonts w:hint="eastAsia" w:ascii="仿宋_GB2312" w:hAnsi="仿宋_GB2312" w:eastAsia="仿宋_GB2312" w:cs="仿宋_GB2312"/>
          <w:b w:val="0"/>
          <w:bCs/>
          <w:szCs w:val="32"/>
        </w:rPr>
        <w:t>自公布之日起施行。本条例施行前业经登记的经纪人，应当自本条例施行之日起六个月内按照本条例规定进行重新登记，逾期不重新登记的，原证照失效。</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　　附：经纪人佣金的标准：</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交易成交额（人民币）　　　　　　佣金（人民币）</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10000元以下　　　　        　 成交额的5％</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10000元到100000元　　　　　 500元＋成交额10000 元以上部分的4％</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100000元到1000000元　　　　　4100元＋成交额100000元以上部分的３％</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1000000元到10000000元　  　31100元＋成交额1000000元以上部分的1％</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_GB2312" w:hAnsi="仿宋_GB2312" w:eastAsia="仿宋_GB2312" w:cs="仿宋_GB2312"/>
          <w:b w:val="0"/>
          <w:bCs/>
          <w:szCs w:val="32"/>
        </w:rPr>
      </w:pPr>
      <w:r>
        <w:rPr>
          <w:rFonts w:hint="eastAsia" w:ascii="仿宋_GB2312" w:hAnsi="仿宋_GB2312" w:eastAsia="仿宋_GB2312" w:cs="仿宋_GB2312"/>
          <w:b w:val="0"/>
          <w:bCs/>
          <w:szCs w:val="32"/>
        </w:rPr>
        <w:t>10000000元以上　　　　　 121100元＋成交额10000000元以上部分的0.5％</w:t>
      </w:r>
    </w:p>
    <w:p>
      <w:pPr>
        <w:keepNext w:val="0"/>
        <w:keepLines w:val="0"/>
        <w:pageBreakBefore w:val="0"/>
        <w:widowControl w:val="0"/>
        <w:kinsoku/>
        <w:wordWrap/>
        <w:overflowPunct/>
        <w:topLinePunct w:val="0"/>
        <w:autoSpaceDE/>
        <w:autoSpaceDN/>
        <w:bidi w:val="0"/>
        <w:spacing w:line="560" w:lineRule="exact"/>
        <w:textAlignment w:val="baseline"/>
        <w:outlineLvl w:val="9"/>
        <w:rPr>
          <w:rFonts w:hint="eastAsia" w:ascii="仿宋" w:hAnsi="仿宋" w:eastAsia="仿宋" w:cs="仿宋"/>
          <w:b w:val="0"/>
          <w:bCs/>
          <w:szCs w:val="32"/>
        </w:rPr>
      </w:pPr>
    </w:p>
    <w:p>
      <w:pPr>
        <w:pStyle w:val="2"/>
        <w:keepNext w:val="0"/>
        <w:keepLines w:val="0"/>
        <w:pageBreakBefore w:val="0"/>
        <w:widowControl w:val="0"/>
        <w:kinsoku/>
        <w:wordWrap/>
        <w:overflowPunct/>
        <w:topLinePunct w:val="0"/>
        <w:autoSpaceDE/>
        <w:autoSpaceDN/>
        <w:bidi w:val="0"/>
        <w:adjustRightInd w:val="0"/>
        <w:snapToGrid w:val="0"/>
        <w:spacing w:after="0" w:line="560" w:lineRule="exact"/>
        <w:ind w:left="0" w:leftChars="0" w:firstLine="699" w:firstLineChars="221"/>
        <w:outlineLvl w:val="9"/>
        <w:rPr>
          <w:rFonts w:hint="eastAsia" w:ascii="楷体_GB2312" w:hAnsi="华文中宋" w:eastAsia="楷体_GB2312"/>
          <w:b w:val="0"/>
          <w:bCs/>
          <w:szCs w:val="32"/>
        </w:rPr>
      </w:pPr>
    </w:p>
    <w:sectPr>
      <w:footerReference r:id="rId3" w:type="default"/>
      <w:footerReference r:id="rId4" w:type="even"/>
      <w:pgSz w:w="11907" w:h="16840"/>
      <w:pgMar w:top="2041" w:right="1531" w:bottom="2041" w:left="1531" w:header="851" w:footer="1644" w:gutter="0"/>
      <w:pgNumType w:fmt="numberInDash"/>
      <w:cols w:space="720" w:num="1"/>
      <w:rtlGutter w:val="0"/>
      <w:docGrid w:type="linesAndChars" w:linePitch="579" w:charSpace="-8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Nyala">
    <w:panose1 w:val="02000504070300020003"/>
    <w:charset w:val="00"/>
    <w:family w:val="auto"/>
    <w:pitch w:val="default"/>
    <w:sig w:usb0="A000006F" w:usb1="00000000" w:usb2="00000800" w:usb3="00000000" w:csb0="00000093" w:csb1="00000000"/>
  </w:font>
  <w:font w:name="方正兰亭黑简体">
    <w:panose1 w:val="02000000000000000000"/>
    <w:charset w:val="86"/>
    <w:family w:val="auto"/>
    <w:pitch w:val="default"/>
    <w:sig w:usb0="00000001" w:usb1="0800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Batang">
    <w:panose1 w:val="02030600000101010101"/>
    <w:charset w:val="81"/>
    <w:family w:val="auto"/>
    <w:pitch w:val="default"/>
    <w:sig w:usb0="B00002AF" w:usb1="69D77CFB" w:usb2="00000030" w:usb3="00000000" w:csb0="4008009F" w:csb1="DFD70000"/>
  </w:font>
  <w:font w:name="BatangChe">
    <w:panose1 w:val="02030609000101010101"/>
    <w:charset w:val="81"/>
    <w:family w:val="auto"/>
    <w:pitch w:val="default"/>
    <w:sig w:usb0="B00002AF" w:usb1="69D77CFB" w:usb2="00000030" w:usb3="00000000" w:csb0="4008009F" w:csb1="DFD70000"/>
  </w:font>
  <w:font w:name="DFKai-SB">
    <w:panose1 w:val="03000509000000000000"/>
    <w:charset w:val="88"/>
    <w:family w:val="auto"/>
    <w:pitch w:val="default"/>
    <w:sig w:usb0="00000003" w:usb1="082E0000" w:usb2="00000016" w:usb3="00000000" w:csb0="00100001" w:csb1="00000000"/>
  </w:font>
  <w:font w:name="新宋体">
    <w:panose1 w:val="02010609030101010101"/>
    <w:charset w:val="86"/>
    <w:family w:val="auto"/>
    <w:pitch w:val="default"/>
    <w:sig w:usb0="00000003" w:usb1="288F0000" w:usb2="0000000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ascii="宋体" w:hAnsi="宋体" w:eastAsia="宋体" w:cs="宋体"/>
        <w:sz w:val="24"/>
        <w:szCs w:val="24"/>
      </w:rPr>
    </w:pPr>
    <w:r>
      <w:rPr>
        <w:sz w:val="24"/>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snapToGrid w:val="0"/>
                            <w:rPr>
                              <w:rFonts w:hint="eastAsia" w:eastAsia="仿宋_GB2312"/>
                              <w:sz w:val="1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- 1 -</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p>
                      </w:txbxContent>
                    </wps:txbx>
                    <wps:bodyPr vert="horz" wrap="none" lIns="0" tIns="0" rIns="0" bIns="0" anchor="t" upright="0">
                      <a:spAutoFit/>
                    </wps:bodyPr>
                  </wps:wsp>
                </a:graphicData>
              </a:graphic>
            </wp:anchor>
          </w:drawing>
        </mc:Choice>
        <mc:Fallback>
          <w:pict>
            <v:shape id="文本框 4"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aGmCS9MAAAAFAQAADwAAAAAAAAABACAAAAAiAAAAZHJzL2Rvd25yZXYu&#10;eG1sUEsBAhQAFAAAAAgAh07iQMl7J5jHAQAAbAMAAA4AAAAAAAAAAQAgAAAAIgEAAGRycy9lMm9E&#10;b2MueG1sUEsFBgAAAAAGAAYAWQEAAFsFAAAAAA==&#10;">
              <v:fill on="f" focussize="0,0"/>
              <v:stroke on="f" weight="1.25pt"/>
              <v:imagedata o:title=""/>
              <o:lock v:ext="edit" aspectratio="f"/>
              <v:textbox inset="0mm,0mm,0mm,0mm" style="mso-fit-shape-to-text:t;">
                <w:txbxContent>
                  <w:p>
                    <w:pPr>
                      <w:snapToGrid w:val="0"/>
                      <w:rPr>
                        <w:rFonts w:hint="eastAsia" w:eastAsia="仿宋_GB2312"/>
                        <w:sz w:val="1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- 1 -</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snapToGrid w:val="0"/>
                            <w:rPr>
                              <w:rFonts w:hint="eastAsia" w:eastAsia="仿宋_GB2312"/>
                              <w:sz w:val="1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- 2 -</w:t>
                          </w:r>
                          <w:r>
                            <w:rPr>
                              <w:rFonts w:hint="eastAsia" w:ascii="宋体" w:hAnsi="宋体" w:eastAsia="宋体" w:cs="宋体"/>
                              <w:sz w:val="28"/>
                              <w:szCs w:val="28"/>
                              <w:lang w:eastAsia="zh-CN"/>
                            </w:rPr>
                            <w:fldChar w:fldCharType="end"/>
                          </w:r>
                        </w:p>
                      </w:txbxContent>
                    </wps:txbx>
                    <wps:bodyPr vert="horz" wrap="none" lIns="0" tIns="0" rIns="0" bIns="0" anchor="t" upright="0">
                      <a:spAutoFit/>
                    </wps:bodyPr>
                  </wps:wsp>
                </a:graphicData>
              </a:graphic>
            </wp:anchor>
          </w:drawing>
        </mc:Choice>
        <mc:Fallback>
          <w:pict>
            <v:shape id="文本框 5"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GhpgkvTAAAABQEAAA8AAAAAAAAAAQAgAAAAIgAAAGRycy9kb3ducmV2Lnht&#10;bFBLAQIUABQAAAAIAIdO4kCVLi4WxQEAAGwDAAAOAAAAAAAAAAEAIAAAACIBAABkcnMvZTJvRG9j&#10;LnhtbFBLBQYAAAAABgAGAFkBAABZBQAAAAA=&#10;">
              <v:fill on="f" focussize="0,0"/>
              <v:stroke on="f" weight="1.25pt"/>
              <v:imagedata o:title=""/>
              <o:lock v:ext="edit" aspectratio="f"/>
              <v:textbox inset="0mm,0mm,0mm,0mm" style="mso-fit-shape-to-text:t;">
                <w:txbxContent>
                  <w:p>
                    <w:pPr>
                      <w:snapToGrid w:val="0"/>
                      <w:rPr>
                        <w:rFonts w:hint="eastAsia" w:eastAsia="仿宋_GB2312"/>
                        <w:sz w:val="1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- 2 -</w:t>
                    </w:r>
                    <w:r>
                      <w:rPr>
                        <w:rFonts w:hint="eastAsia" w:ascii="宋体" w:hAnsi="宋体" w:eastAsia="宋体" w:cs="宋体"/>
                        <w:sz w:val="28"/>
                        <w:szCs w:val="28"/>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attachedTemplate r:id="rId1"/>
  <w:documentProtection w:enforcement="0"/>
  <w:defaultTabStop w:val="420"/>
  <w:hyphenationZone w:val="360"/>
  <w:drawingGridHorizontalSpacing w:val="158"/>
  <w:drawingGridVerticalSpacing w:val="290"/>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3A57EC"/>
    <w:rsid w:val="00000B99"/>
    <w:rsid w:val="0009348D"/>
    <w:rsid w:val="000B547A"/>
    <w:rsid w:val="000E0B10"/>
    <w:rsid w:val="001642F1"/>
    <w:rsid w:val="00301CC5"/>
    <w:rsid w:val="0048173A"/>
    <w:rsid w:val="005B49EE"/>
    <w:rsid w:val="00721D9C"/>
    <w:rsid w:val="007E3220"/>
    <w:rsid w:val="0080111E"/>
    <w:rsid w:val="008C2765"/>
    <w:rsid w:val="00A57B8B"/>
    <w:rsid w:val="00D95E11"/>
    <w:rsid w:val="00EA1A6A"/>
    <w:rsid w:val="00FC783E"/>
    <w:rsid w:val="066965C6"/>
    <w:rsid w:val="06C6272F"/>
    <w:rsid w:val="0895751D"/>
    <w:rsid w:val="08EB46EA"/>
    <w:rsid w:val="10483EDD"/>
    <w:rsid w:val="111A31B4"/>
    <w:rsid w:val="175132C8"/>
    <w:rsid w:val="19691A60"/>
    <w:rsid w:val="1B8F36C4"/>
    <w:rsid w:val="208727B8"/>
    <w:rsid w:val="20D86158"/>
    <w:rsid w:val="21D42AE8"/>
    <w:rsid w:val="222D5EC0"/>
    <w:rsid w:val="2356528B"/>
    <w:rsid w:val="23BD5F8A"/>
    <w:rsid w:val="255958AB"/>
    <w:rsid w:val="26A718E0"/>
    <w:rsid w:val="2CD01562"/>
    <w:rsid w:val="2D785DF2"/>
    <w:rsid w:val="2F8C7A30"/>
    <w:rsid w:val="329E7197"/>
    <w:rsid w:val="3530510B"/>
    <w:rsid w:val="359A6968"/>
    <w:rsid w:val="3B436EA3"/>
    <w:rsid w:val="3CFD1D16"/>
    <w:rsid w:val="459A0014"/>
    <w:rsid w:val="4B7F2B0B"/>
    <w:rsid w:val="4E4F376E"/>
    <w:rsid w:val="50067A1E"/>
    <w:rsid w:val="51EF053D"/>
    <w:rsid w:val="53BA17FC"/>
    <w:rsid w:val="545A1FC3"/>
    <w:rsid w:val="56A55C1B"/>
    <w:rsid w:val="585415C6"/>
    <w:rsid w:val="59124C97"/>
    <w:rsid w:val="5AF1484F"/>
    <w:rsid w:val="5BBC5E8C"/>
    <w:rsid w:val="60FA7A99"/>
    <w:rsid w:val="62F5388E"/>
    <w:rsid w:val="6377386C"/>
    <w:rsid w:val="64504FE3"/>
    <w:rsid w:val="661A600B"/>
    <w:rsid w:val="69D532A0"/>
    <w:rsid w:val="69D84234"/>
    <w:rsid w:val="69DF4F18"/>
    <w:rsid w:val="6B6E4C81"/>
    <w:rsid w:val="6E1B076A"/>
    <w:rsid w:val="70043718"/>
    <w:rsid w:val="72E060D1"/>
    <w:rsid w:val="74717A14"/>
    <w:rsid w:val="795F0994"/>
    <w:rsid w:val="7B6A1C39"/>
    <w:rsid w:val="7C167017"/>
    <w:rsid w:val="7C9E0BDA"/>
    <w:rsid w:val="7CCF59CD"/>
    <w:rsid w:val="7F3A57EC"/>
  </w:rsid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_GB2312" w:hAnsi="仿宋_GB2312" w:eastAsia="仿宋_GB2312" w:cs="Times New Roman"/>
      <w:kern w:val="2"/>
      <w:sz w:val="32"/>
      <w:lang w:val="en-US" w:eastAsia="zh-CN" w:bidi="ar-SA"/>
    </w:rPr>
  </w:style>
  <w:style w:type="character" w:default="1" w:styleId="5">
    <w:name w:val="Default Paragraph Font"/>
    <w:qFormat/>
    <w:uiPriority w:val="0"/>
  </w:style>
  <w:style w:type="table" w:default="1" w:styleId="6">
    <w:name w:val="Normal Table"/>
    <w:semiHidden/>
    <w:qFormat/>
    <w:uiPriority w:val="0"/>
    <w:tblPr>
      <w:tblLayout w:type="fixed"/>
      <w:tblCellMar>
        <w:top w:w="0" w:type="dxa"/>
        <w:left w:w="108" w:type="dxa"/>
        <w:bottom w:w="0" w:type="dxa"/>
        <w:right w:w="108" w:type="dxa"/>
      </w:tblCellMar>
    </w:tblPr>
    <w:tcPr>
      <w:textDirection w:val="lrTb"/>
    </w:tcPr>
  </w:style>
  <w:style w:type="paragraph" w:styleId="2">
    <w:name w:val="Body Text Indent"/>
    <w:basedOn w:val="1"/>
    <w:qFormat/>
    <w:uiPriority w:val="0"/>
    <w:pPr>
      <w:spacing w:after="120" w:afterLines="0"/>
      <w:ind w:left="420" w:leftChars="20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customStyle="1" w:styleId="7">
    <w:name w:val="正文 New New New New New New New"/>
    <w:qFormat/>
    <w:uiPriority w:val="0"/>
    <w:pPr>
      <w:widowControl w:val="0"/>
      <w:jc w:val="both"/>
    </w:pPr>
    <w:rPr>
      <w:rFonts w:hint="eastAsia" w:ascii="Times New Roman" w:hAnsi="Times New Roman" w:eastAsia="Times New Roman" w:cs="Times New Roman"/>
      <w:kern w:val="2"/>
      <w:sz w:val="32"/>
      <w:lang w:val="en-US" w:eastAsia="zh-CN" w:bidi="ar-SA"/>
    </w:rPr>
  </w:style>
  <w:style w:type="paragraph" w:customStyle="1" w:styleId="8">
    <w:name w:val="正文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
    <w:name w:val="正文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
    <w:name w:val="正文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
    <w:name w:val="正文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7169;&#26495;.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模板.wpt</Template>
  <Pages>11</Pages>
  <Words>4660</Words>
  <Characters>4674</Characters>
  <Lines>34</Lines>
  <Paragraphs>9</Paragraphs>
  <ScaleCrop>false</ScaleCrop>
  <LinksUpToDate>false</LinksUpToDate>
  <CharactersWithSpaces>4783</CharactersWithSpaces>
  <Application>WPS Office_10.1.0.6202_F1E327BC-269C-435d-A152-05C5408002CA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2017-01-06T14:35:00Z</dcterms:created>
  <dc:creator>Administrator</dc:creator>
  <cp:lastModifiedBy>Administrator</cp:lastModifiedBy>
  <dcterms:modified xsi:type="dcterms:W3CDTF">2017-01-19T03:41:16Z</dcterms:modified>
  <dc:title>广东省第十二届人民代表大会常务委员会</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2052-10.1.0.6202</vt:lpwstr>
  </property>
</Properties>
</file>