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SimSun" w:hAnsi="宋体;SimSun" w:eastAsia="方正小标宋_GBK" w:cs="宋体;SimSun"/>
          <w:b/>
          <w:sz w:val="44"/>
          <w:szCs w:val="44"/>
        </w:rPr>
      </w:pPr>
      <w:r>
        <w:rPr>
          <w:rFonts w:eastAsia="方正小标宋_GBK" w:cs="宋体;SimSun" w:ascii="宋体;SimSun" w:hAnsi="宋体;SimSun"/>
          <w:b/>
          <w:sz w:val="44"/>
          <w:szCs w:val="44"/>
        </w:rPr>
      </w:r>
    </w:p>
    <w:p>
      <w:pPr>
        <w:pStyle w:val="TOC2"/>
        <w:rPr>
          <w:rFonts w:ascii="宋体;SimSun" w:hAnsi="宋体;SimSun" w:eastAsia="方正小标宋_GBK" w:cs="宋体;SimSun"/>
          <w:b/>
          <w:sz w:val="44"/>
          <w:szCs w:val="44"/>
        </w:rPr>
      </w:pPr>
      <w:r>
        <w:rPr>
          <w:rFonts w:eastAsia="方正小标宋_GBK" w:cs="宋体;SimSun" w:ascii="宋体;SimSun" w:hAnsi="宋体;SimSun"/>
          <w:b/>
          <w:sz w:val="44"/>
          <w:szCs w:val="44"/>
        </w:rPr>
      </w:r>
    </w:p>
    <w:p>
      <w:pPr>
        <w:pStyle w:val="Style15"/>
        <w:widowControl w:val="false"/>
        <w:spacing w:before="0" w:after="0"/>
        <w:jc w:val="center"/>
        <w:rPr>
          <w:rFonts w:hint="eastAsia"/>
          <w:bCs/>
          <w:sz w:val="44"/>
          <w:szCs w:val="44"/>
        </w:rPr>
      </w:pPr>
      <w:r>
        <w:rPr>
          <w:rFonts w:hint="eastAsia"/>
          <w:bCs/>
          <w:sz w:val="44"/>
          <w:szCs w:val="44"/>
        </w:rPr>
        <w:t>湘潭市平安建设条例</w:t>
      </w:r>
    </w:p>
    <w:p>
      <w:pPr>
        <w:pStyle w:val="Style15"/>
        <w:widowControl w:val="false"/>
        <w:shd w:fill="FFFFFF" w:val="clear"/>
        <w:spacing w:before="0" w:after="0"/>
        <w:ind w:firstLineChars="196" w:startChars="0" w:start="0" w:endChars="0" w:end="0"/>
        <w:jc w:val="both"/>
        <w:rPr>
          <w:rFonts w:eastAsia="仿宋" w:cs="Arial" w:hint="eastAsia"/>
          <w:b/>
          <w:bCs/>
          <w:sz w:val="36"/>
          <w:szCs w:val="36"/>
        </w:rPr>
      </w:pPr>
      <w:r>
        <w:rPr>
          <w:rFonts w:eastAsia="仿宋" w:cs="Arial" w:hint="eastAsia"/>
          <w:b/>
          <w:bCs/>
          <w:sz w:val="36"/>
          <w:szCs w:val="36"/>
        </w:rPr>
      </w:r>
    </w:p>
    <w:p>
      <w:pPr>
        <w:pStyle w:val="Style15"/>
        <w:widowControl w:val="false"/>
        <w:shd w:fill="FFFFFF" w:val="clear"/>
        <w:spacing w:before="0" w:after="0"/>
        <w:ind w:firstLineChars="0" w:firstLine="0" w:startChars="304" w:endChars="0" w:end="0"/>
        <w:jc w:val="both"/>
        <w:rPr>
          <w:rFonts w:eastAsia="楷体_GB2312" w:cs="Arial"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2022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23</w:t>
      </w:r>
      <w:r>
        <w:rPr>
          <w:rFonts w:ascii="楷体_GB2312" w:hAnsi="楷体_GB2312" w:cs="楷体_GB2312" w:hint="eastAsia" w:eastAsia="楷体_GB2312"/>
          <w:sz w:val="32"/>
          <w:szCs w:val="32"/>
        </w:rPr>
        <w:t xml:space="preserve">日湘潭市第十六届人民代表大会常务委员会第六次会议通过  </w:t>
      </w:r>
      <w:r>
        <w:rPr>
          <w:rFonts w:eastAsia="楷体_GB2312" w:cs="楷体_GB2312" w:hint="eastAsia" w:ascii="楷体_GB2312" w:hAnsi="楷体_GB2312"/>
          <w:sz w:val="32"/>
          <w:szCs w:val="32"/>
        </w:rPr>
        <w:t>2022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23</w:t>
      </w:r>
      <w:r>
        <w:rPr>
          <w:rFonts w:ascii="楷体_GB2312" w:hAnsi="楷体_GB2312" w:cs="楷体_GB2312" w:hint="eastAsia" w:eastAsia="楷体_GB2312"/>
          <w:sz w:val="32"/>
          <w:szCs w:val="32"/>
        </w:rPr>
        <w:t>日湖南省第十三届人民代表大会常务委员会第三十四次会议批准）</w:t>
      </w:r>
    </w:p>
    <w:p>
      <w:pPr>
        <w:pStyle w:val="Style15"/>
        <w:widowControl w:val="false"/>
        <w:shd w:fill="FFFFFF" w:val="clear"/>
        <w:spacing w:before="0" w:after="0"/>
        <w:jc w:val="both"/>
        <w:rPr>
          <w:rFonts w:eastAsia="楷体_GB2312" w:cs="Arial" w:hint="eastAsia"/>
          <w:sz w:val="32"/>
          <w:szCs w:val="32"/>
        </w:rPr>
      </w:pPr>
      <w:r>
        <w:rPr>
          <w:rFonts w:eastAsia="楷体_GB2312" w:cs="Arial" w:hint="eastAsia"/>
          <w:sz w:val="32"/>
          <w:szCs w:val="32"/>
        </w:rPr>
      </w:r>
    </w:p>
    <w:p>
      <w:pPr>
        <w:pStyle w:val="Normal"/>
        <w:jc w:val="center"/>
        <w:rPr>
          <w:rFonts w:ascii="宋体;SimSun" w:hAnsi="宋体;SimSun" w:eastAsia="楷体_GB2312" w:cs="Arial" w:hint="eastAsia"/>
          <w:sz w:val="32"/>
          <w:szCs w:val="32"/>
        </w:rPr>
      </w:pPr>
      <w:r>
        <w:rPr>
          <w:rFonts w:ascii="宋体;SimSun" w:hAnsi="宋体;SimSun" w:cs="楷体_GB2312" w:eastAsia="楷体_GB2312"/>
          <w:sz w:val="32"/>
        </w:rPr>
        <w:t>目　　录</w:t>
      </w:r>
    </w:p>
    <w:p>
      <w:pPr>
        <w:pStyle w:val="Normal"/>
        <w:ind w:firstLineChars="200" w:startChars="0" w:start="0" w:endChars="0" w:end="0"/>
        <w:rPr/>
      </w:pPr>
      <w:r>
        <w:rPr>
          <w:rFonts w:ascii="宋体;SimSun" w:hAnsi="宋体;SimSun" w:cs="楷体_GB2312" w:hint="eastAsia" w:eastAsia="楷体_GB2312"/>
          <w:kern w:val="0"/>
          <w:sz w:val="32"/>
          <w:szCs w:val="32"/>
        </w:rPr>
        <w:t>第一章</w:t>
      </w:r>
      <w:r>
        <w:rPr>
          <w:rFonts w:ascii="宋体;SimSun" w:hAnsi="宋体;SimSun" w:cs="楷体_GB2312" w:hint="eastAsia" w:eastAsia="楷体_GB2312"/>
          <w:b/>
          <w:kern w:val="0"/>
          <w:sz w:val="32"/>
          <w:szCs w:val="32"/>
        </w:rPr>
        <w:t xml:space="preserve"> </w:t>
      </w:r>
      <w:r>
        <w:rPr>
          <w:rFonts w:ascii="宋体;SimSun" w:hAnsi="宋体;SimSun" w:cs="楷体_GB2312" w:hint="eastAsia" w:eastAsia="楷体_GB2312"/>
          <w:bCs/>
          <w:kern w:val="0"/>
          <w:sz w:val="32"/>
          <w:szCs w:val="32"/>
        </w:rPr>
        <w:t>总 则</w:t>
      </w:r>
    </w:p>
    <w:p>
      <w:pPr>
        <w:pStyle w:val="Normal"/>
        <w:ind w:firstLineChars="200" w:startChars="0" w:start="0" w:endChars="0" w:end="0"/>
        <w:rPr/>
      </w:pPr>
      <w:r>
        <w:rPr>
          <w:rFonts w:ascii="宋体;SimSun" w:hAnsi="宋体;SimSun" w:cs="楷体_GB2312" w:hint="eastAsia" w:eastAsia="楷体_GB2312"/>
          <w:bCs/>
          <w:kern w:val="0"/>
          <w:sz w:val="32"/>
          <w:szCs w:val="32"/>
        </w:rPr>
        <w:t>第二章 风险防控</w:t>
      </w:r>
    </w:p>
    <w:p>
      <w:pPr>
        <w:pStyle w:val="Normal"/>
        <w:ind w:firstLineChars="200" w:startChars="0" w:start="0" w:endChars="0" w:end="0"/>
        <w:rPr/>
      </w:pPr>
      <w:r>
        <w:rPr>
          <w:rFonts w:ascii="宋体;SimSun" w:hAnsi="宋体;SimSun" w:cs="楷体_GB2312" w:hint="eastAsia" w:eastAsia="楷体_GB2312"/>
          <w:bCs/>
          <w:kern w:val="0"/>
          <w:sz w:val="32"/>
          <w:szCs w:val="32"/>
        </w:rPr>
        <w:t>第三章 重点防治</w:t>
      </w:r>
    </w:p>
    <w:p>
      <w:pPr>
        <w:pStyle w:val="Normal"/>
        <w:ind w:firstLineChars="200" w:startChars="0" w:start="0" w:endChars="0" w:end="0"/>
        <w:rPr/>
      </w:pPr>
      <w:r>
        <w:rPr>
          <w:rFonts w:ascii="宋体;SimSun" w:hAnsi="宋体;SimSun" w:cs="楷体_GB2312" w:hint="eastAsia" w:eastAsia="楷体_GB2312"/>
          <w:bCs/>
          <w:kern w:val="0"/>
          <w:sz w:val="32"/>
          <w:szCs w:val="32"/>
        </w:rPr>
        <w:t>第四章 纠纷化解</w:t>
      </w:r>
    </w:p>
    <w:p>
      <w:pPr>
        <w:pStyle w:val="Normal"/>
        <w:ind w:firstLineChars="200" w:startChars="0" w:start="0" w:endChars="0" w:end="0"/>
        <w:rPr/>
      </w:pPr>
      <w:r>
        <w:rPr>
          <w:rFonts w:ascii="宋体;SimSun" w:hAnsi="宋体;SimSun" w:cs="楷体_GB2312" w:hint="eastAsia" w:eastAsia="楷体_GB2312"/>
          <w:bCs/>
          <w:kern w:val="0"/>
          <w:sz w:val="32"/>
          <w:szCs w:val="32"/>
        </w:rPr>
        <w:t>第五章 社会参与</w:t>
      </w:r>
    </w:p>
    <w:p>
      <w:pPr>
        <w:pStyle w:val="Normal"/>
        <w:ind w:firstLineChars="200" w:startChars="0" w:start="0" w:endChars="0" w:end="0"/>
        <w:rPr/>
      </w:pPr>
      <w:r>
        <w:rPr>
          <w:rFonts w:ascii="宋体;SimSun" w:hAnsi="宋体;SimSun" w:cs="楷体_GB2312" w:hint="eastAsia" w:eastAsia="楷体_GB2312"/>
          <w:bCs/>
          <w:kern w:val="0"/>
          <w:sz w:val="32"/>
          <w:szCs w:val="32"/>
        </w:rPr>
        <w:t>第六章 保障与监督</w:t>
      </w:r>
    </w:p>
    <w:p>
      <w:pPr>
        <w:pStyle w:val="Normal"/>
        <w:ind w:firstLineChars="200" w:startChars="0" w:start="0" w:endChars="0" w:end="0"/>
        <w:rPr>
          <w:rFonts w:ascii="宋体;SimSun" w:hAnsi="宋体;SimSun" w:eastAsia="楷体_GB2312" w:cs="楷体_GB2312"/>
          <w:bCs/>
          <w:kern w:val="0"/>
          <w:sz w:val="32"/>
          <w:szCs w:val="32"/>
        </w:rPr>
      </w:pPr>
      <w:r>
        <w:rPr>
          <w:rFonts w:ascii="宋体;SimSun" w:hAnsi="宋体;SimSun" w:cs="楷体_GB2312" w:hint="eastAsia" w:eastAsia="楷体_GB2312"/>
          <w:bCs/>
          <w:kern w:val="0"/>
          <w:sz w:val="32"/>
          <w:szCs w:val="32"/>
        </w:rPr>
        <w:t>第七章 附 则</w:t>
      </w:r>
    </w:p>
    <w:p>
      <w:pPr>
        <w:pStyle w:val="Normal"/>
        <w:ind w:firstLineChars="200" w:startChars="0" w:start="0" w:endChars="0" w:end="0"/>
        <w:rPr>
          <w:rFonts w:ascii="宋体;SimSun" w:hAnsi="宋体;SimSun" w:eastAsia="楷体_GB2312" w:cs="宋体;SimSun"/>
          <w:b/>
          <w:bCs/>
          <w:kern w:val="0"/>
          <w:sz w:val="36"/>
          <w:szCs w:val="36"/>
        </w:rPr>
      </w:pPr>
      <w:r>
        <w:rPr>
          <w:rFonts w:eastAsia="楷体_GB2312" w:cs="宋体;SimSun" w:ascii="宋体;SimSun" w:hAnsi="宋体;SimSun"/>
          <w:b/>
          <w:bCs/>
          <w:kern w:val="0"/>
          <w:sz w:val="36"/>
          <w:szCs w:val="36"/>
        </w:rPr>
      </w:r>
    </w:p>
    <w:p>
      <w:pPr>
        <w:pStyle w:val="Normal"/>
        <w:jc w:val="center"/>
        <w:rPr/>
      </w:pPr>
      <w:r>
        <w:rPr>
          <w:rFonts w:ascii="宋体;SimSun" w:hAnsi="宋体;SimSun" w:cs="宋体;SimSun" w:hint="eastAsia" w:eastAsia="黑体;SimHei"/>
          <w:sz w:val="32"/>
          <w:szCs w:val="32"/>
        </w:rPr>
        <w:t>第一章  总</w:t>
      </w:r>
      <w:r>
        <w:rPr>
          <w:rFonts w:ascii="黑体;SimHei" w:hAnsi="黑体;SimHei" w:cs="黑体;SimHei" w:hint="eastAsia" w:eastAsia="黑体;SimHei"/>
          <w:sz w:val="32"/>
          <w:szCs w:val="32"/>
        </w:rPr>
        <w:t xml:space="preserve"> </w:t>
      </w:r>
      <w:r>
        <w:rPr>
          <w:rFonts w:ascii="宋体;SimSun" w:hAnsi="宋体;SimSun" w:cs="宋体;SimSun" w:hint="eastAsia" w:eastAsia="黑体;SimHei"/>
          <w:sz w:val="32"/>
          <w:szCs w:val="32"/>
        </w:rPr>
        <w:t>则</w:t>
      </w:r>
    </w:p>
    <w:p>
      <w:pPr>
        <w:pStyle w:val="Normal"/>
        <w:ind w:firstLineChars="200" w:startChars="0" w:start="0" w:endChars="0" w:end="0"/>
        <w:rPr>
          <w:rFonts w:ascii="宋体;SimSun" w:hAnsi="宋体;SimSun" w:eastAsia="黑体;SimHei" w:cs="宋体;SimSun" w:hint="eastAsia"/>
          <w:b/>
          <w:kern w:val="0"/>
          <w:sz w:val="36"/>
          <w:szCs w:val="36"/>
        </w:rPr>
      </w:pPr>
      <w:r>
        <w:rPr>
          <w:rFonts w:eastAsia="黑体;SimHei" w:cs="宋体;SimSun" w:hint="eastAsia" w:ascii="宋体;SimSun" w:hAnsi="宋体;SimSun"/>
          <w:b/>
          <w:kern w:val="0"/>
          <w:sz w:val="36"/>
          <w:szCs w:val="36"/>
        </w:rPr>
      </w:r>
    </w:p>
    <w:p>
      <w:pPr>
        <w:pStyle w:val="Normal"/>
        <w:ind w:firstLineChars="200" w:startChars="0" w:start="0" w:endChars="0" w:end="0"/>
        <w:rPr/>
      </w:pPr>
      <w:r>
        <w:rPr>
          <w:rFonts w:ascii="宋体;SimSun" w:hAnsi="宋体;SimSun" w:cs="黑体;SimHei" w:hint="eastAsia" w:eastAsia="黑体;SimHei"/>
          <w:bCs/>
          <w:kern w:val="0"/>
          <w:sz w:val="32"/>
          <w:szCs w:val="32"/>
        </w:rPr>
        <w:t>第一条</w:t>
      </w:r>
      <w:r>
        <w:rPr>
          <w:rFonts w:ascii="宋体;SimSun" w:hAnsi="宋体;SimSun" w:cs="仿宋_GB2312" w:hint="eastAsia" w:eastAsia="仿宋_GB2312"/>
          <w:bCs/>
          <w:kern w:val="0"/>
          <w:sz w:val="32"/>
          <w:szCs w:val="32"/>
        </w:rPr>
        <w:t xml:space="preserve">  为了提升市域社会治理现代化水平，推进平安湘潭建设，促进社会和谐稳定，增进人民幸福安宁，根据有关法律法规，结合本市实际，制定本条例。</w:t>
      </w:r>
    </w:p>
    <w:p>
      <w:pPr>
        <w:pStyle w:val="Normal"/>
        <w:ind w:firstLineChars="200" w:startChars="0" w:start="0" w:endChars="0" w:end="0"/>
        <w:rPr/>
      </w:pPr>
      <w:r>
        <w:rPr>
          <w:rFonts w:ascii="宋体;SimSun" w:hAnsi="宋体;SimSun" w:cs="黑体;SimHei" w:hint="eastAsia" w:eastAsia="黑体;SimHei"/>
          <w:bCs/>
          <w:kern w:val="0"/>
          <w:sz w:val="32"/>
          <w:szCs w:val="32"/>
        </w:rPr>
        <w:t xml:space="preserve">第二条 </w:t>
      </w:r>
      <w:r>
        <w:rPr>
          <w:rFonts w:ascii="宋体;SimSun" w:hAnsi="宋体;SimSun" w:cs="仿宋_GB2312" w:hint="eastAsia" w:eastAsia="仿宋_GB2312"/>
          <w:bCs/>
          <w:kern w:val="0"/>
          <w:sz w:val="32"/>
          <w:szCs w:val="32"/>
        </w:rPr>
        <w:t xml:space="preserve"> 本市行政区域内的平安建设及其监督管理活动，适用本条例。</w:t>
      </w:r>
    </w:p>
    <w:p>
      <w:pPr>
        <w:pStyle w:val="Normal"/>
        <w:ind w:firstLineChars="200" w:startChars="0" w:start="0" w:endChars="0" w:end="0"/>
        <w:rPr/>
      </w:pPr>
      <w:r>
        <w:rPr>
          <w:rFonts w:ascii="宋体;SimSun" w:hAnsi="宋体;SimSun" w:cs="黑体;SimHei" w:hint="eastAsia" w:eastAsia="黑体;SimHei"/>
          <w:bCs/>
          <w:kern w:val="0"/>
          <w:sz w:val="32"/>
          <w:szCs w:val="32"/>
        </w:rPr>
        <w:t xml:space="preserve">第三条 </w:t>
      </w:r>
      <w:r>
        <w:rPr>
          <w:rFonts w:ascii="宋体;SimSun" w:hAnsi="宋体;SimSun" w:cs="仿宋_GB2312" w:hint="eastAsia" w:eastAsia="仿宋_GB2312"/>
          <w:bCs/>
          <w:kern w:val="0"/>
          <w:sz w:val="32"/>
          <w:szCs w:val="32"/>
        </w:rPr>
        <w:t xml:space="preserve"> 平安建设遵循总体国家安全观，坚持以人民为中心，完善党委领导、政府负责、民主协商、社会协同、公众参与、法治保障、科技支撑的社会治理体系，形成共建共治共享的社会治理格局。</w:t>
      </w:r>
    </w:p>
    <w:p>
      <w:pPr>
        <w:pStyle w:val="Normal"/>
        <w:ind w:firstLineChars="200" w:startChars="0" w:start="0" w:endChars="0" w:end="0"/>
        <w:rPr/>
      </w:pPr>
      <w:r>
        <w:rPr>
          <w:rFonts w:ascii="宋体;SimSun" w:hAnsi="宋体;SimSun" w:cs="黑体;SimHei" w:hint="eastAsia" w:eastAsia="黑体;SimHei"/>
          <w:bCs/>
          <w:kern w:val="0"/>
          <w:sz w:val="32"/>
          <w:szCs w:val="32"/>
        </w:rPr>
        <w:t xml:space="preserve">第四条 </w:t>
      </w:r>
      <w:r>
        <w:rPr>
          <w:rFonts w:ascii="宋体;SimSun" w:hAnsi="宋体;SimSun" w:cs="仿宋_GB2312" w:hint="eastAsia" w:eastAsia="仿宋_GB2312"/>
          <w:bCs/>
          <w:kern w:val="0"/>
          <w:sz w:val="32"/>
          <w:szCs w:val="32"/>
        </w:rPr>
        <w:t xml:space="preserve"> 市、县（市、区）人民政府应当将平安建设工作经费列入政府财政预算。</w:t>
      </w:r>
    </w:p>
    <w:p>
      <w:pPr>
        <w:pStyle w:val="Normal"/>
        <w:ind w:firstLineChars="200" w:startChars="0" w:start="0" w:endChars="0" w:end="0"/>
        <w:rPr/>
      </w:pPr>
      <w:r>
        <w:rPr>
          <w:rFonts w:ascii="宋体;SimSun" w:hAnsi="宋体;SimSun" w:cs="仿宋_GB2312" w:hint="eastAsia" w:eastAsia="仿宋_GB2312"/>
          <w:bCs/>
          <w:kern w:val="0"/>
          <w:sz w:val="32"/>
          <w:szCs w:val="32"/>
        </w:rPr>
        <w:t>鼓励通过社会捐赠、公益赞助等符合国家</w:t>
      </w:r>
      <w:hyperlink r:id="rId2">
        <w:r>
          <w:rPr>
            <w:rStyle w:val="Hyperlink"/>
            <w:rFonts w:ascii="宋体;SimSun" w:hAnsi="宋体;SimSun" w:cs="仿宋_GB2312" w:hint="eastAsia" w:eastAsia="仿宋_GB2312"/>
            <w:bCs/>
            <w:kern w:val="0"/>
            <w:sz w:val="32"/>
            <w:szCs w:val="32"/>
          </w:rPr>
          <w:t>法律</w:t>
        </w:r>
      </w:hyperlink>
      <w:hyperlink r:id="rId3">
        <w:r>
          <w:rPr>
            <w:rStyle w:val="Hyperlink"/>
            <w:rFonts w:ascii="宋体;SimSun" w:hAnsi="宋体;SimSun" w:cs="仿宋_GB2312" w:hint="eastAsia" w:eastAsia="仿宋_GB2312"/>
            <w:bCs/>
            <w:kern w:val="0"/>
            <w:sz w:val="32"/>
            <w:szCs w:val="32"/>
          </w:rPr>
          <w:t>法规</w:t>
        </w:r>
      </w:hyperlink>
      <w:r>
        <w:rPr>
          <w:rFonts w:ascii="宋体;SimSun" w:hAnsi="宋体;SimSun" w:cs="仿宋_GB2312" w:hint="eastAsia" w:eastAsia="仿宋_GB2312"/>
          <w:bCs/>
          <w:kern w:val="0"/>
          <w:sz w:val="32"/>
          <w:szCs w:val="32"/>
        </w:rPr>
        <w:t>规定的渠道吸纳资金作为平安建设奖励基金。</w:t>
      </w:r>
    </w:p>
    <w:p>
      <w:pPr>
        <w:pStyle w:val="Normal"/>
        <w:ind w:firstLineChars="200" w:startChars="0" w:start="0" w:endChars="0" w:end="0"/>
        <w:rPr/>
      </w:pPr>
      <w:r>
        <w:rPr>
          <w:rFonts w:ascii="宋体;SimSun" w:hAnsi="宋体;SimSun" w:cs="黑体;SimHei" w:hint="eastAsia" w:eastAsia="黑体;SimHei"/>
          <w:bCs/>
          <w:kern w:val="0"/>
          <w:sz w:val="32"/>
          <w:szCs w:val="32"/>
        </w:rPr>
        <w:t>第五条</w:t>
      </w:r>
      <w:r>
        <w:rPr>
          <w:rFonts w:ascii="宋体;SimSun" w:hAnsi="宋体;SimSun" w:cs="仿宋_GB2312" w:hint="eastAsia" w:eastAsia="仿宋_GB2312"/>
          <w:bCs/>
          <w:kern w:val="0"/>
          <w:sz w:val="32"/>
          <w:szCs w:val="32"/>
        </w:rPr>
        <w:t xml:space="preserve">  市、县（市、区）平安建设领导小组统一领导、统筹推进本行政区域的平安建设工作；市、县（市、区）平安建设组织协调机构负责本行政区域平安建设的协调推进、规划编制、指导督查和考核奖惩等工作。</w:t>
      </w:r>
    </w:p>
    <w:p>
      <w:pPr>
        <w:pStyle w:val="Normal"/>
        <w:ind w:firstLineChars="200" w:startChars="0" w:start="0" w:endChars="0" w:end="0"/>
        <w:rPr>
          <w:rFonts w:ascii="宋体;SimSun" w:hAnsi="宋体;SimSun" w:eastAsia="仿宋_GB2312" w:cs="仿宋_GB2312" w:hint="eastAsia"/>
          <w:bCs/>
          <w:kern w:val="0"/>
          <w:sz w:val="32"/>
          <w:szCs w:val="32"/>
        </w:rPr>
      </w:pPr>
      <w:r>
        <w:rPr>
          <w:rFonts w:ascii="宋体;SimSun" w:hAnsi="宋体;SimSun" w:cs="仿宋_GB2312" w:hint="eastAsia" w:eastAsia="仿宋_GB2312"/>
          <w:bCs/>
          <w:kern w:val="0"/>
          <w:sz w:val="32"/>
          <w:szCs w:val="32"/>
        </w:rPr>
        <w:t>市、县（市、区）人民政府，监察委员会，人民法院，人民检察院应当按照各自职责做好平安建设工作。</w:t>
      </w:r>
    </w:p>
    <w:p>
      <w:pPr>
        <w:pStyle w:val="Normal"/>
        <w:ind w:firstLineChars="200" w:startChars="0" w:start="0" w:endChars="0" w:end="0"/>
        <w:rPr>
          <w:rFonts w:ascii="宋体;SimSun" w:hAnsi="宋体;SimSun" w:eastAsia="仿宋_GB2312" w:cs="仿宋_GB2312" w:hint="eastAsia"/>
          <w:bCs/>
          <w:kern w:val="0"/>
          <w:sz w:val="32"/>
          <w:szCs w:val="32"/>
        </w:rPr>
      </w:pPr>
      <w:r>
        <w:rPr>
          <w:rFonts w:ascii="宋体;SimSun" w:hAnsi="宋体;SimSun" w:cs="仿宋_GB2312" w:hint="eastAsia" w:eastAsia="仿宋_GB2312"/>
          <w:bCs/>
          <w:kern w:val="0"/>
          <w:sz w:val="32"/>
          <w:szCs w:val="32"/>
        </w:rPr>
        <w:t>乡镇人民政府、街道办事处应当按照国家和省有关规定，实行党建引领网格化服务管理，开展社会保障、综合治理、国家安全、应急管理、社会救助、民生服务、矛盾纠纷化解等工作。</w:t>
      </w:r>
    </w:p>
    <w:p>
      <w:pPr>
        <w:pStyle w:val="Normal"/>
        <w:ind w:firstLineChars="200" w:startChars="0" w:start="0" w:endChars="0" w:end="0"/>
        <w:rPr/>
      </w:pPr>
      <w:r>
        <w:rPr>
          <w:rFonts w:ascii="宋体;SimSun" w:hAnsi="宋体;SimSun" w:cs="黑体;SimHei" w:hint="eastAsia" w:eastAsia="黑体;SimHei"/>
          <w:bCs/>
          <w:kern w:val="0"/>
          <w:sz w:val="32"/>
          <w:szCs w:val="32"/>
        </w:rPr>
        <w:t>第六条</w:t>
      </w:r>
      <w:r>
        <w:rPr>
          <w:rFonts w:ascii="宋体;SimSun" w:hAnsi="宋体;SimSun" w:cs="仿宋_GB2312" w:hint="eastAsia" w:eastAsia="仿宋_GB2312"/>
          <w:bCs/>
          <w:kern w:val="0"/>
          <w:sz w:val="32"/>
          <w:szCs w:val="32"/>
        </w:rPr>
        <w:t xml:space="preserve">  市、县（市、区）平安建设组织协调机构应当根据需要，确定相关部门和单位作为平安建设联动和协调工作机制成员单位，并实行动态调整。</w:t>
      </w:r>
    </w:p>
    <w:p>
      <w:pPr>
        <w:pStyle w:val="Normal"/>
        <w:ind w:firstLineChars="200" w:startChars="0" w:start="0" w:endChars="0" w:end="0"/>
        <w:rPr>
          <w:rFonts w:ascii="宋体;SimSun" w:hAnsi="宋体;SimSun" w:eastAsia="仿宋_GB2312" w:cs="仿宋_GB2312" w:hint="eastAsia"/>
          <w:bCs/>
          <w:kern w:val="0"/>
          <w:sz w:val="32"/>
          <w:szCs w:val="32"/>
        </w:rPr>
      </w:pPr>
      <w:r>
        <w:rPr>
          <w:rFonts w:ascii="宋体;SimSun" w:hAnsi="宋体;SimSun" w:cs="仿宋_GB2312" w:hint="eastAsia" w:eastAsia="仿宋_GB2312"/>
          <w:bCs/>
          <w:kern w:val="0"/>
          <w:sz w:val="32"/>
          <w:szCs w:val="32"/>
        </w:rPr>
        <w:t>成员单位应当结合本单位职责，落实平安建设工作目标和任务，向同级领导小组报告平安建设工作，接受指导、督促和检查。</w:t>
      </w:r>
    </w:p>
    <w:p>
      <w:pPr>
        <w:pStyle w:val="Normal"/>
        <w:ind w:firstLineChars="200" w:startChars="0" w:start="0" w:endChars="0" w:end="0"/>
        <w:rPr/>
      </w:pPr>
      <w:r>
        <w:rPr>
          <w:rFonts w:ascii="宋体;SimSun" w:hAnsi="宋体;SimSun" w:cs="黑体;SimHei" w:hint="eastAsia" w:eastAsia="黑体;SimHei"/>
          <w:bCs/>
          <w:kern w:val="0"/>
          <w:sz w:val="32"/>
          <w:szCs w:val="32"/>
        </w:rPr>
        <w:t>第七条</w:t>
      </w:r>
      <w:r>
        <w:rPr>
          <w:rFonts w:ascii="宋体;SimSun" w:hAnsi="宋体;SimSun" w:cs="仿宋_GB2312" w:hint="eastAsia" w:eastAsia="仿宋_GB2312"/>
          <w:bCs/>
          <w:kern w:val="0"/>
          <w:sz w:val="32"/>
          <w:szCs w:val="32"/>
        </w:rPr>
        <w:t xml:space="preserve">  国家机关、企事业单位、人民团体以及其他社会组织应当履行平安建设相关职责。</w:t>
      </w:r>
    </w:p>
    <w:p>
      <w:pPr>
        <w:pStyle w:val="Normal"/>
        <w:ind w:firstLineChars="200" w:startChars="0" w:start="0" w:endChars="0" w:end="0"/>
        <w:rPr/>
      </w:pPr>
      <w:r>
        <w:rPr>
          <w:rFonts w:ascii="宋体;SimSun" w:hAnsi="宋体;SimSun" w:cs="黑体;SimHei" w:hint="eastAsia" w:eastAsia="黑体;SimHei"/>
          <w:bCs/>
          <w:kern w:val="0"/>
          <w:sz w:val="32"/>
          <w:szCs w:val="32"/>
        </w:rPr>
        <w:t xml:space="preserve">第八条 </w:t>
      </w:r>
      <w:r>
        <w:rPr>
          <w:rFonts w:ascii="宋体;SimSun" w:hAnsi="宋体;SimSun" w:cs="仿宋_GB2312" w:hint="eastAsia" w:eastAsia="仿宋_GB2312"/>
          <w:bCs/>
          <w:kern w:val="0"/>
          <w:sz w:val="32"/>
          <w:szCs w:val="32"/>
        </w:rPr>
        <w:t xml:space="preserve"> 湘潭市人民政府应当推动与长沙、株洲、衡阳、娄底等相邻行政区划之间建立社会治安联防、矛盾纠纷联调、突出问题联治、基层平安联创的区域协作机制和数据资源共享交换机制，打造区域治安防控圈，提升维护区域安全稳定能力。</w:t>
      </w:r>
    </w:p>
    <w:p>
      <w:pPr>
        <w:pStyle w:val="Normal"/>
        <w:ind w:firstLineChars="200" w:startChars="0" w:start="0" w:endChars="0" w:end="0"/>
        <w:rPr>
          <w:rFonts w:ascii="宋体;SimSun" w:hAnsi="宋体;SimSun" w:eastAsia="仿宋_GB2312" w:cs="仿宋_GB2312" w:hint="eastAsia"/>
          <w:bCs/>
          <w:kern w:val="0"/>
          <w:sz w:val="32"/>
          <w:szCs w:val="32"/>
        </w:rPr>
      </w:pPr>
      <w:r>
        <w:rPr>
          <w:rFonts w:eastAsia="仿宋_GB2312" w:cs="仿宋_GB2312" w:hint="eastAsia" w:ascii="宋体;SimSun" w:hAnsi="宋体;SimSun"/>
          <w:bCs/>
          <w:kern w:val="0"/>
          <w:sz w:val="32"/>
          <w:szCs w:val="32"/>
        </w:rPr>
      </w:r>
    </w:p>
    <w:p>
      <w:pPr>
        <w:pStyle w:val="Normal"/>
        <w:jc w:val="center"/>
        <w:rPr>
          <w:rFonts w:ascii="宋体;SimSun" w:hAnsi="宋体;SimSun" w:eastAsia="黑体;SimHei" w:cs="宋体;SimSun" w:hint="eastAsia"/>
          <w:sz w:val="32"/>
          <w:szCs w:val="32"/>
        </w:rPr>
      </w:pPr>
      <w:r>
        <w:rPr>
          <w:rFonts w:ascii="宋体;SimSun" w:hAnsi="宋体;SimSun" w:cs="宋体;SimSun" w:hint="eastAsia" w:eastAsia="黑体;SimHei"/>
          <w:sz w:val="32"/>
          <w:szCs w:val="32"/>
        </w:rPr>
        <w:t>第二章  风险防控</w:t>
      </w:r>
    </w:p>
    <w:p>
      <w:pPr>
        <w:pStyle w:val="Normal"/>
        <w:rPr>
          <w:rFonts w:ascii="宋体;SimSun" w:hAnsi="宋体;SimSun" w:eastAsia="仿宋_GB2312" w:cs="仿宋_GB2312" w:hint="eastAsia"/>
          <w:bCs/>
          <w:kern w:val="0"/>
          <w:sz w:val="32"/>
          <w:szCs w:val="32"/>
        </w:rPr>
      </w:pPr>
      <w:r>
        <w:rPr>
          <w:rFonts w:eastAsia="仿宋_GB2312" w:cs="仿宋_GB2312" w:hint="eastAsia" w:ascii="宋体;SimSun" w:hAnsi="宋体;SimSun"/>
          <w:bCs/>
          <w:kern w:val="0"/>
          <w:sz w:val="32"/>
          <w:szCs w:val="32"/>
        </w:rPr>
      </w:r>
    </w:p>
    <w:p>
      <w:pPr>
        <w:pStyle w:val="Normal"/>
        <w:ind w:firstLineChars="200" w:startChars="0" w:start="0" w:endChars="0" w:end="0"/>
        <w:rPr/>
      </w:pPr>
      <w:r>
        <w:rPr>
          <w:rFonts w:ascii="宋体;SimSun" w:hAnsi="宋体;SimSun" w:cs="黑体;SimHei" w:hint="eastAsia" w:eastAsia="黑体;SimHei"/>
          <w:bCs/>
          <w:kern w:val="0"/>
          <w:sz w:val="32"/>
          <w:szCs w:val="32"/>
        </w:rPr>
        <w:t>第九条</w:t>
      </w:r>
      <w:r>
        <w:rPr>
          <w:rFonts w:ascii="宋体;SimSun" w:hAnsi="宋体;SimSun" w:cs="仿宋_GB2312" w:hint="eastAsia" w:eastAsia="仿宋_GB2312"/>
          <w:bCs/>
          <w:kern w:val="0"/>
          <w:sz w:val="32"/>
          <w:szCs w:val="32"/>
        </w:rPr>
        <w:t xml:space="preserve">  市、县（市、区）人民政府、乡（镇）人民政府、街道办事处应当建立健全社会风险信息收集和隐患排查机制，定期排查各类社会风险隐患。</w:t>
      </w:r>
    </w:p>
    <w:p>
      <w:pPr>
        <w:pStyle w:val="Normal"/>
        <w:ind w:firstLineChars="200" w:startChars="0" w:start="0" w:endChars="0" w:end="0"/>
        <w:rPr>
          <w:rFonts w:ascii="宋体;SimSun" w:hAnsi="宋体;SimSun" w:eastAsia="仿宋_GB2312" w:cs="仿宋_GB2312" w:hint="eastAsia"/>
          <w:bCs/>
          <w:kern w:val="0"/>
          <w:sz w:val="32"/>
          <w:szCs w:val="32"/>
        </w:rPr>
      </w:pPr>
      <w:r>
        <w:rPr>
          <w:rFonts w:ascii="宋体;SimSun" w:hAnsi="宋体;SimSun" w:cs="仿宋_GB2312" w:hint="eastAsia" w:eastAsia="仿宋_GB2312"/>
          <w:bCs/>
          <w:kern w:val="0"/>
          <w:sz w:val="32"/>
          <w:szCs w:val="32"/>
        </w:rPr>
        <w:t>相关主管部门应当加强对本行业社会风险隐患的排查并及时向本级人民政府报告，加强对相关企事业单位、社会组织的监督、指导。</w:t>
      </w:r>
    </w:p>
    <w:p>
      <w:pPr>
        <w:pStyle w:val="Normal"/>
        <w:ind w:firstLineChars="200" w:startChars="0" w:start="0" w:endChars="0" w:end="0"/>
        <w:rPr>
          <w:rFonts w:ascii="宋体;SimSun" w:hAnsi="宋体;SimSun" w:eastAsia="仿宋_GB2312" w:cs="仿宋_GB2312" w:hint="eastAsia"/>
          <w:bCs/>
          <w:kern w:val="0"/>
          <w:sz w:val="32"/>
          <w:szCs w:val="32"/>
        </w:rPr>
      </w:pPr>
      <w:r>
        <w:rPr>
          <w:rFonts w:ascii="宋体;SimSun" w:hAnsi="宋体;SimSun" w:cs="仿宋_GB2312" w:hint="eastAsia" w:eastAsia="仿宋_GB2312"/>
          <w:bCs/>
          <w:kern w:val="0"/>
          <w:sz w:val="32"/>
          <w:szCs w:val="32"/>
        </w:rPr>
        <w:t>企事业单位、社会组织应当依法建立健全社会风险隐患排查制度，及时排查社会风险隐患并按照规定向有关主管部门报告。</w:t>
      </w:r>
    </w:p>
    <w:p>
      <w:pPr>
        <w:pStyle w:val="Normal"/>
        <w:ind w:firstLineChars="200" w:startChars="0" w:start="0" w:endChars="0" w:end="0"/>
        <w:rPr/>
      </w:pPr>
      <w:r>
        <w:rPr>
          <w:rFonts w:ascii="宋体;SimSun" w:hAnsi="宋体;SimSun" w:cs="黑体;SimHei" w:hint="eastAsia" w:eastAsia="黑体;SimHei"/>
          <w:bCs/>
          <w:kern w:val="0"/>
          <w:sz w:val="32"/>
          <w:szCs w:val="32"/>
        </w:rPr>
        <w:t>第十条</w:t>
      </w:r>
      <w:r>
        <w:rPr>
          <w:rFonts w:ascii="宋体;SimSun" w:hAnsi="宋体;SimSun" w:cs="仿宋_GB2312" w:hint="eastAsia" w:eastAsia="仿宋_GB2312"/>
          <w:bCs/>
          <w:kern w:val="0"/>
          <w:sz w:val="32"/>
          <w:szCs w:val="32"/>
        </w:rPr>
        <w:t xml:space="preserve">  市、县（市、区）人民政府、乡（镇）人民政府、街道办事处应当建立健全社会风险研判制度，及时对有关社情、舆情及涉稳矛盾纠纷开展风险研判。</w:t>
      </w:r>
    </w:p>
    <w:p>
      <w:pPr>
        <w:pStyle w:val="Normal"/>
        <w:ind w:firstLineChars="200" w:startChars="0" w:start="0" w:endChars="0" w:end="0"/>
        <w:rPr/>
      </w:pPr>
      <w:r>
        <w:rPr>
          <w:rFonts w:ascii="宋体;SimSun" w:hAnsi="宋体;SimSun" w:cs="黑体;SimHei" w:hint="eastAsia" w:eastAsia="黑体;SimHei"/>
          <w:bCs/>
          <w:kern w:val="0"/>
          <w:sz w:val="32"/>
          <w:szCs w:val="32"/>
        </w:rPr>
        <w:t>第十一条</w:t>
      </w:r>
      <w:r>
        <w:rPr>
          <w:rFonts w:ascii="宋体;SimSun" w:hAnsi="宋体;SimSun" w:cs="仿宋_GB2312" w:hint="eastAsia" w:eastAsia="仿宋_GB2312"/>
          <w:bCs/>
          <w:kern w:val="0"/>
          <w:sz w:val="32"/>
          <w:szCs w:val="32"/>
        </w:rPr>
        <w:t xml:space="preserve">  市、县（市、区）人民政府、乡（镇）人民政府、街道办事处应当建立健全社会风险评估机制，对风险点进行评估，确定风险类别和等级，制定应急预案。</w:t>
      </w:r>
    </w:p>
    <w:p>
      <w:pPr>
        <w:pStyle w:val="Normal"/>
        <w:ind w:firstLineChars="200" w:startChars="0" w:start="0" w:endChars="0" w:end="0"/>
        <w:rPr>
          <w:rFonts w:ascii="宋体;SimSun" w:hAnsi="宋体;SimSun" w:eastAsia="仿宋_GB2312" w:cs="仿宋_GB2312" w:hint="eastAsia"/>
          <w:bCs/>
          <w:kern w:val="0"/>
          <w:sz w:val="32"/>
          <w:szCs w:val="32"/>
        </w:rPr>
      </w:pPr>
      <w:r>
        <w:rPr>
          <w:rFonts w:ascii="宋体;SimSun" w:hAnsi="宋体;SimSun" w:cs="仿宋_GB2312" w:hint="eastAsia" w:eastAsia="仿宋_GB2312"/>
          <w:bCs/>
          <w:kern w:val="0"/>
          <w:sz w:val="32"/>
          <w:szCs w:val="32"/>
        </w:rPr>
        <w:t>有关国家机关在做出重大决策时，应当对可能引起的社会稳定风险进行分析和评估，提出防范和化解风险的相应措施。</w:t>
      </w:r>
    </w:p>
    <w:p>
      <w:pPr>
        <w:pStyle w:val="Normal"/>
        <w:ind w:firstLineChars="200" w:startChars="0" w:start="0" w:endChars="0" w:end="0"/>
        <w:rPr/>
      </w:pPr>
      <w:r>
        <w:rPr>
          <w:rFonts w:ascii="宋体;SimSun" w:hAnsi="宋体;SimSun" w:cs="黑体;SimHei" w:hint="eastAsia" w:eastAsia="黑体;SimHei"/>
          <w:bCs/>
          <w:kern w:val="0"/>
          <w:sz w:val="32"/>
          <w:szCs w:val="32"/>
        </w:rPr>
        <w:t>第十二条</w:t>
      </w:r>
      <w:r>
        <w:rPr>
          <w:rFonts w:ascii="宋体;SimSun" w:hAnsi="宋体;SimSun" w:cs="仿宋_GB2312" w:hint="eastAsia" w:eastAsia="仿宋_GB2312"/>
          <w:bCs/>
          <w:kern w:val="0"/>
          <w:sz w:val="32"/>
          <w:szCs w:val="32"/>
        </w:rPr>
        <w:t xml:space="preserve">  市、县（市、区）人民政府、乡（镇）人民政府、街道办事处应当建立健全社会风险预测预警制度，按照规定进行社会预警提示和向相关单位通报。</w:t>
      </w:r>
    </w:p>
    <w:p>
      <w:pPr>
        <w:pStyle w:val="Normal"/>
        <w:ind w:firstLineChars="200" w:startChars="0" w:start="0" w:endChars="0" w:end="0"/>
        <w:rPr/>
      </w:pPr>
      <w:r>
        <w:rPr>
          <w:rFonts w:ascii="宋体;SimSun" w:hAnsi="宋体;SimSun" w:cs="黑体;SimHei" w:hint="eastAsia" w:eastAsia="黑体;SimHei"/>
          <w:bCs/>
          <w:kern w:val="0"/>
          <w:sz w:val="32"/>
          <w:szCs w:val="32"/>
        </w:rPr>
        <w:t>第十三条</w:t>
      </w:r>
      <w:r>
        <w:rPr>
          <w:rFonts w:ascii="宋体;SimSun" w:hAnsi="宋体;SimSun" w:cs="仿宋_GB2312" w:hint="eastAsia" w:eastAsia="仿宋_GB2312"/>
          <w:bCs/>
          <w:kern w:val="0"/>
          <w:sz w:val="32"/>
          <w:szCs w:val="32"/>
        </w:rPr>
        <w:t xml:space="preserve">  市、县（市、区）人民政府、乡（镇）人民政府、街道办事处应当对重大社会风险隐患及时挂牌督办，对引发突发事件的，做好应急响应。</w:t>
      </w:r>
    </w:p>
    <w:p>
      <w:pPr>
        <w:pStyle w:val="Normal"/>
        <w:ind w:firstLineChars="200" w:startChars="0" w:start="0" w:endChars="0" w:end="0"/>
        <w:rPr>
          <w:rFonts w:ascii="宋体;SimSun" w:hAnsi="宋体;SimSun" w:eastAsia="仿宋_GB2312" w:cs="仿宋_GB2312" w:hint="eastAsia"/>
          <w:bCs/>
          <w:kern w:val="0"/>
          <w:sz w:val="32"/>
          <w:szCs w:val="32"/>
        </w:rPr>
      </w:pPr>
      <w:r>
        <w:rPr>
          <w:rFonts w:eastAsia="仿宋_GB2312" w:cs="仿宋_GB2312" w:hint="eastAsia" w:ascii="宋体;SimSun" w:hAnsi="宋体;SimSun"/>
          <w:bCs/>
          <w:kern w:val="0"/>
          <w:sz w:val="32"/>
          <w:szCs w:val="32"/>
        </w:rPr>
      </w:r>
    </w:p>
    <w:p>
      <w:pPr>
        <w:pStyle w:val="Normal"/>
        <w:jc w:val="center"/>
        <w:rPr>
          <w:rFonts w:ascii="宋体;SimSun" w:hAnsi="宋体;SimSun" w:eastAsia="黑体;SimHei" w:cs="宋体;SimSun" w:hint="eastAsia"/>
          <w:sz w:val="32"/>
          <w:szCs w:val="32"/>
        </w:rPr>
      </w:pPr>
      <w:r>
        <w:rPr>
          <w:rFonts w:ascii="宋体;SimSun" w:hAnsi="宋体;SimSun" w:cs="宋体;SimSun" w:hint="eastAsia" w:eastAsia="黑体;SimHei"/>
          <w:sz w:val="32"/>
          <w:szCs w:val="32"/>
        </w:rPr>
        <w:t>第三章  重点防治</w:t>
      </w:r>
    </w:p>
    <w:p>
      <w:pPr>
        <w:pStyle w:val="Normal"/>
        <w:rPr>
          <w:rFonts w:ascii="宋体;SimSun" w:hAnsi="宋体;SimSun" w:eastAsia="仿宋_GB2312" w:cs="仿宋_GB2312" w:hint="eastAsia"/>
          <w:bCs/>
          <w:kern w:val="0"/>
          <w:sz w:val="32"/>
          <w:szCs w:val="32"/>
        </w:rPr>
      </w:pPr>
      <w:r>
        <w:rPr>
          <w:rFonts w:eastAsia="仿宋_GB2312" w:cs="仿宋_GB2312" w:hint="eastAsia" w:ascii="宋体;SimSun" w:hAnsi="宋体;SimSun"/>
          <w:bCs/>
          <w:kern w:val="0"/>
          <w:sz w:val="32"/>
          <w:szCs w:val="32"/>
        </w:rPr>
      </w:r>
    </w:p>
    <w:p>
      <w:pPr>
        <w:pStyle w:val="Normal"/>
        <w:ind w:firstLineChars="200" w:startChars="0" w:start="0" w:endChars="0" w:end="0"/>
        <w:rPr/>
      </w:pPr>
      <w:r>
        <w:rPr>
          <w:rFonts w:ascii="宋体;SimSun" w:hAnsi="宋体;SimSun" w:cs="黑体;SimHei" w:hint="eastAsia" w:eastAsia="黑体;SimHei"/>
          <w:bCs/>
          <w:kern w:val="0"/>
          <w:sz w:val="32"/>
          <w:szCs w:val="32"/>
        </w:rPr>
        <w:t>第十四条</w:t>
      </w:r>
      <w:r>
        <w:rPr>
          <w:rFonts w:ascii="宋体;SimSun" w:hAnsi="宋体;SimSun" w:cs="仿宋_GB2312" w:hint="eastAsia" w:eastAsia="仿宋_GB2312"/>
          <w:bCs/>
          <w:kern w:val="0"/>
          <w:sz w:val="32"/>
          <w:szCs w:val="32"/>
        </w:rPr>
        <w:t xml:space="preserve">  平安建设成员单位应当按照各自职责加强对征地拆迁、工程建设、物业管理、婚恋家庭、金融借贷、劳动关系、教育培训、卫生健康、社会保障、环境保护、消防安全、信息安全、商贸物流、网络购物、养老和殡葬服务等领域的风险防范。</w:t>
      </w:r>
    </w:p>
    <w:p>
      <w:pPr>
        <w:pStyle w:val="Normal"/>
        <w:ind w:firstLineChars="200" w:startChars="0" w:start="0" w:endChars="0" w:end="0"/>
        <w:rPr/>
      </w:pPr>
      <w:r>
        <w:rPr>
          <w:rFonts w:ascii="宋体;SimSun" w:hAnsi="宋体;SimSun" w:cs="黑体;SimHei" w:hint="eastAsia" w:eastAsia="黑体;SimHei"/>
          <w:bCs/>
          <w:kern w:val="0"/>
          <w:sz w:val="32"/>
          <w:szCs w:val="32"/>
        </w:rPr>
        <w:t>第十五条</w:t>
      </w:r>
      <w:r>
        <w:rPr>
          <w:rFonts w:ascii="宋体;SimSun" w:hAnsi="宋体;SimSun" w:cs="仿宋_GB2312" w:hint="eastAsia" w:eastAsia="仿宋_GB2312"/>
          <w:bCs/>
          <w:kern w:val="0"/>
          <w:sz w:val="32"/>
          <w:szCs w:val="32"/>
        </w:rPr>
        <w:t xml:space="preserve">  学校、幼儿园、医院、公园、文化体育娱乐场所、大型商业中心、车站、港口码头、铁路沿线、政务大厅等区域的管理或者运营单位应当按照有关法律法规和技术标准配备安防人员和设施设备，制定突发事件应急预案，定期组织应急演练，提高防控能力。</w:t>
      </w:r>
    </w:p>
    <w:p>
      <w:pPr>
        <w:pStyle w:val="Normal"/>
        <w:ind w:firstLineChars="200" w:startChars="0" w:start="0" w:endChars="0" w:end="0"/>
        <w:rPr/>
      </w:pPr>
      <w:r>
        <w:rPr>
          <w:rFonts w:ascii="宋体;SimSun" w:hAnsi="宋体;SimSun" w:cs="黑体;SimHei" w:hint="eastAsia" w:eastAsia="黑体;SimHei"/>
          <w:bCs/>
          <w:kern w:val="0"/>
          <w:sz w:val="32"/>
          <w:szCs w:val="32"/>
        </w:rPr>
        <w:t>第十六条</w:t>
      </w:r>
      <w:r>
        <w:rPr>
          <w:rFonts w:ascii="宋体;SimSun" w:hAnsi="宋体;SimSun" w:cs="仿宋_GB2312" w:hint="eastAsia" w:eastAsia="仿宋_GB2312"/>
          <w:bCs/>
          <w:kern w:val="0"/>
          <w:sz w:val="32"/>
          <w:szCs w:val="32"/>
        </w:rPr>
        <w:t xml:space="preserve">  司法行政、公安、卫生健康、民政、教育等有关主管部门应当加强对刑满释放人员、社区矫正对象、吸毒人员、严重精神障碍患者、不良行为青少年等重点人群的服务与管理。</w:t>
      </w:r>
    </w:p>
    <w:p>
      <w:pPr>
        <w:pStyle w:val="Normal"/>
        <w:ind w:firstLineChars="200" w:startChars="0" w:start="0" w:endChars="0" w:end="0"/>
        <w:rPr/>
      </w:pPr>
      <w:r>
        <w:rPr>
          <w:rFonts w:ascii="宋体;SimSun" w:hAnsi="宋体;SimSun" w:cs="黑体;SimHei" w:hint="eastAsia" w:eastAsia="黑体;SimHei"/>
          <w:bCs/>
          <w:kern w:val="0"/>
          <w:sz w:val="32"/>
          <w:szCs w:val="32"/>
        </w:rPr>
        <w:t>第十七条</w:t>
      </w:r>
      <w:r>
        <w:rPr>
          <w:rFonts w:ascii="宋体;SimSun" w:hAnsi="宋体;SimSun" w:cs="仿宋_GB2312" w:hint="eastAsia" w:eastAsia="仿宋_GB2312"/>
          <w:bCs/>
          <w:kern w:val="0"/>
          <w:sz w:val="32"/>
          <w:szCs w:val="32"/>
        </w:rPr>
        <w:t xml:space="preserve">  反恐怖主义工作领导机构成员单位、工作联系单位以及其他有关单位应当建立健全反恐怖主义工作机制和预案，组织防范技能培训和应对处置演练，开展反恐怖主义安全隐患排查和风险评估，指导落实安全防范措施，依法严厉打击暴力恐怖活动。</w:t>
      </w:r>
    </w:p>
    <w:p>
      <w:pPr>
        <w:pStyle w:val="Normal"/>
        <w:ind w:firstLineChars="200" w:startChars="0" w:start="0" w:endChars="0" w:end="0"/>
        <w:rPr/>
      </w:pPr>
      <w:r>
        <w:rPr>
          <w:rFonts w:ascii="宋体;SimSun" w:hAnsi="宋体;SimSun" w:cs="黑体;SimHei" w:hint="eastAsia" w:eastAsia="黑体;SimHei"/>
          <w:bCs/>
          <w:kern w:val="0"/>
          <w:sz w:val="32"/>
          <w:szCs w:val="32"/>
        </w:rPr>
        <w:t>第十八条</w:t>
      </w:r>
      <w:r>
        <w:rPr>
          <w:rFonts w:ascii="宋体;SimSun" w:hAnsi="宋体;SimSun" w:cs="仿宋_GB2312" w:hint="eastAsia" w:eastAsia="仿宋_GB2312"/>
          <w:bCs/>
          <w:kern w:val="0"/>
          <w:sz w:val="32"/>
          <w:szCs w:val="32"/>
        </w:rPr>
        <w:t xml:space="preserve">  扫黑除恶斗争指导协调机构应当建立健全常态化开展扫黑除恶的长效机制，组织成员单位持续开展源头预防、监测预警、依法查处、重点整治等方面的工作。</w:t>
      </w:r>
    </w:p>
    <w:p>
      <w:pPr>
        <w:pStyle w:val="Normal"/>
        <w:ind w:firstLineChars="200" w:startChars="0" w:start="0" w:endChars="0" w:end="0"/>
        <w:rPr/>
      </w:pPr>
      <w:r>
        <w:rPr>
          <w:rFonts w:ascii="宋体;SimSun" w:hAnsi="宋体;SimSun" w:cs="黑体;SimHei" w:hint="eastAsia" w:eastAsia="黑体;SimHei"/>
          <w:bCs/>
          <w:kern w:val="0"/>
          <w:sz w:val="32"/>
          <w:szCs w:val="32"/>
        </w:rPr>
        <w:t>第十九条</w:t>
      </w:r>
      <w:r>
        <w:rPr>
          <w:rFonts w:ascii="宋体;SimSun" w:hAnsi="宋体;SimSun" w:cs="仿宋_GB2312" w:hint="eastAsia" w:eastAsia="仿宋_GB2312"/>
          <w:bCs/>
          <w:kern w:val="0"/>
          <w:sz w:val="32"/>
          <w:szCs w:val="32"/>
        </w:rPr>
        <w:t xml:space="preserve">  教育主管部门应当会同公安、城市管理、市场监管、文旅广体、应急管理等有关主管部门建立健全学生安全区域制度，完善校园（幼儿园）及周边综合治理长效机制，做好安全防范工作。</w:t>
      </w:r>
    </w:p>
    <w:p>
      <w:pPr>
        <w:pStyle w:val="Normal"/>
        <w:ind w:firstLineChars="200" w:startChars="0" w:start="0" w:endChars="0" w:end="0"/>
        <w:rPr>
          <w:rFonts w:ascii="宋体;SimSun" w:hAnsi="宋体;SimSun" w:eastAsia="仿宋_GB2312" w:cs="仿宋_GB2312" w:hint="eastAsia"/>
          <w:bCs/>
          <w:kern w:val="0"/>
          <w:sz w:val="32"/>
          <w:szCs w:val="32"/>
        </w:rPr>
      </w:pPr>
      <w:r>
        <w:rPr>
          <w:rFonts w:ascii="宋体;SimSun" w:hAnsi="宋体;SimSun" w:cs="仿宋_GB2312" w:hint="eastAsia" w:eastAsia="仿宋_GB2312"/>
          <w:bCs/>
          <w:kern w:val="0"/>
          <w:sz w:val="32"/>
          <w:szCs w:val="32"/>
        </w:rPr>
        <w:t>各级各类学校应当落实安全管理制度，完善安防设施，健全校园安全预案、动态监测和分析研判机制，开展多种形式的安全教育和法治教育。</w:t>
      </w:r>
    </w:p>
    <w:p>
      <w:pPr>
        <w:pStyle w:val="Normal"/>
        <w:ind w:firstLineChars="200" w:startChars="0" w:start="0" w:endChars="0" w:end="0"/>
        <w:rPr/>
      </w:pPr>
      <w:r>
        <w:rPr>
          <w:rFonts w:ascii="宋体;SimSun" w:hAnsi="宋体;SimSun" w:cs="黑体;SimHei" w:hint="eastAsia" w:eastAsia="黑体;SimHei"/>
          <w:bCs/>
          <w:kern w:val="0"/>
          <w:sz w:val="32"/>
          <w:szCs w:val="32"/>
        </w:rPr>
        <w:t>第二十条</w:t>
      </w:r>
      <w:r>
        <w:rPr>
          <w:rFonts w:ascii="宋体;SimSun" w:hAnsi="宋体;SimSun" w:cs="仿宋_GB2312" w:hint="eastAsia" w:eastAsia="仿宋_GB2312"/>
          <w:bCs/>
          <w:kern w:val="0"/>
          <w:sz w:val="32"/>
          <w:szCs w:val="32"/>
        </w:rPr>
        <w:t xml:space="preserve">  公安、交通运输等主管部门应当加强对交通事故多发地段和存在交通安全隐患的路段进行排查整治，强化对重点运输行业、铁路护路、重点车辆源头管控，定期对运输行业开展安全检查。</w:t>
      </w:r>
    </w:p>
    <w:p>
      <w:pPr>
        <w:pStyle w:val="Normal"/>
        <w:ind w:firstLineChars="200" w:startChars="0" w:start="0" w:endChars="0" w:end="0"/>
        <w:rPr/>
      </w:pPr>
      <w:r>
        <w:rPr>
          <w:rFonts w:ascii="宋体;SimSun" w:hAnsi="宋体;SimSun" w:cs="黑体;SimHei" w:hint="eastAsia" w:eastAsia="黑体;SimHei"/>
          <w:bCs/>
          <w:kern w:val="0"/>
          <w:sz w:val="32"/>
          <w:szCs w:val="32"/>
        </w:rPr>
        <w:t>第二十一条</w:t>
      </w:r>
      <w:r>
        <w:rPr>
          <w:rFonts w:ascii="宋体;SimSun" w:hAnsi="宋体;SimSun" w:cs="仿宋_GB2312" w:hint="eastAsia" w:eastAsia="仿宋_GB2312"/>
          <w:bCs/>
          <w:kern w:val="0"/>
          <w:sz w:val="32"/>
          <w:szCs w:val="32"/>
        </w:rPr>
        <w:t xml:space="preserve">  邮政管理、公安主管部门应当加强对物流、寄递企业落实寄件人身份核查、物件验视和安全检查工作的监督，督促物流、寄递企业落实安全检查和防疫制度。</w:t>
      </w:r>
    </w:p>
    <w:p>
      <w:pPr>
        <w:pStyle w:val="Normal"/>
        <w:ind w:firstLineChars="200" w:startChars="0" w:start="0" w:endChars="0" w:end="0"/>
        <w:rPr>
          <w:rFonts w:ascii="宋体;SimSun" w:hAnsi="宋体;SimSun" w:eastAsia="仿宋_GB2312" w:cs="仿宋_GB2312" w:hint="eastAsia"/>
          <w:bCs/>
          <w:kern w:val="0"/>
          <w:sz w:val="32"/>
          <w:szCs w:val="32"/>
        </w:rPr>
      </w:pPr>
      <w:r>
        <w:rPr>
          <w:rFonts w:ascii="宋体;SimSun" w:hAnsi="宋体;SimSun" w:cs="仿宋_GB2312" w:hint="eastAsia" w:eastAsia="仿宋_GB2312"/>
          <w:bCs/>
          <w:kern w:val="0"/>
          <w:sz w:val="32"/>
          <w:szCs w:val="32"/>
        </w:rPr>
        <w:t>物流、寄递企业在收寄物件时应当对寄件人和其委托人的姓名予以核实，在收寄前验视物件并在寄送前进行安全检查。寄件人或者其委托人拒绝验视或者安全检查的，寄递企业不得收寄。</w:t>
      </w:r>
    </w:p>
    <w:p>
      <w:pPr>
        <w:pStyle w:val="Normal"/>
        <w:ind w:firstLineChars="200" w:startChars="0" w:start="0" w:endChars="0" w:end="0"/>
        <w:rPr>
          <w:rFonts w:ascii="宋体;SimSun" w:hAnsi="宋体;SimSun" w:eastAsia="仿宋_GB2312" w:cs="仿宋_GB2312" w:hint="eastAsia"/>
          <w:bCs/>
          <w:kern w:val="0"/>
          <w:sz w:val="32"/>
          <w:szCs w:val="32"/>
        </w:rPr>
      </w:pPr>
      <w:r>
        <w:rPr>
          <w:rFonts w:ascii="宋体;SimSun" w:hAnsi="宋体;SimSun" w:cs="仿宋_GB2312" w:hint="eastAsia" w:eastAsia="仿宋_GB2312"/>
          <w:bCs/>
          <w:kern w:val="0"/>
          <w:sz w:val="32"/>
          <w:szCs w:val="32"/>
        </w:rPr>
        <w:t>物流、寄递企业应当依法对收寄物件的安全检查过程进行监控录像，按照有关规定进行保存。</w:t>
      </w:r>
    </w:p>
    <w:p>
      <w:pPr>
        <w:pStyle w:val="Normal"/>
        <w:ind w:firstLineChars="200" w:startChars="0" w:start="0" w:endChars="0" w:end="0"/>
        <w:rPr/>
      </w:pPr>
      <w:r>
        <w:rPr>
          <w:rFonts w:ascii="宋体;SimSun" w:hAnsi="宋体;SimSun" w:cs="黑体;SimHei" w:hint="eastAsia" w:eastAsia="黑体;SimHei"/>
          <w:bCs/>
          <w:kern w:val="0"/>
          <w:sz w:val="32"/>
          <w:szCs w:val="32"/>
        </w:rPr>
        <w:t>第二十二条</w:t>
      </w:r>
      <w:r>
        <w:rPr>
          <w:rFonts w:ascii="宋体;SimSun" w:hAnsi="宋体;SimSun" w:cs="仿宋_GB2312" w:hint="eastAsia" w:eastAsia="仿宋_GB2312"/>
          <w:bCs/>
          <w:kern w:val="0"/>
          <w:sz w:val="32"/>
          <w:szCs w:val="32"/>
        </w:rPr>
        <w:t xml:space="preserve">  公安、网信、文旅广体、金融监管、工业和信息化等主管部门应当按照职责加强网络监管和治理，建立健全网络综合防控体系，开展网络安全宣传教育，加强公民个人信息保护，预防和惩治网络违法犯罪行为。</w:t>
      </w:r>
    </w:p>
    <w:p>
      <w:pPr>
        <w:pStyle w:val="Normal"/>
        <w:ind w:firstLineChars="200" w:startChars="0" w:start="0" w:endChars="0" w:end="0"/>
        <w:rPr>
          <w:rFonts w:ascii="宋体;SimSun" w:hAnsi="宋体;SimSun" w:eastAsia="仿宋_GB2312" w:cs="仿宋_GB2312" w:hint="eastAsia"/>
          <w:bCs/>
          <w:kern w:val="0"/>
          <w:sz w:val="32"/>
          <w:szCs w:val="32"/>
        </w:rPr>
      </w:pPr>
      <w:r>
        <w:rPr>
          <w:rFonts w:ascii="宋体;SimSun" w:hAnsi="宋体;SimSun" w:cs="仿宋_GB2312" w:hint="eastAsia" w:eastAsia="仿宋_GB2312"/>
          <w:bCs/>
          <w:kern w:val="0"/>
          <w:sz w:val="32"/>
          <w:szCs w:val="32"/>
        </w:rPr>
        <w:t xml:space="preserve">网络运营者应当履行网络安全主体责任，制定网络安全应急预案，保障网络数据安全和用户信息安全，防范网络安全风险。 </w:t>
      </w:r>
    </w:p>
    <w:p>
      <w:pPr>
        <w:pStyle w:val="Normal"/>
        <w:ind w:firstLineChars="200" w:startChars="0" w:start="0" w:endChars="0" w:end="0"/>
        <w:rPr/>
      </w:pPr>
      <w:r>
        <w:rPr>
          <w:rFonts w:ascii="宋体;SimSun" w:hAnsi="宋体;SimSun" w:cs="黑体;SimHei" w:hint="eastAsia" w:eastAsia="黑体;SimHei"/>
          <w:bCs/>
          <w:kern w:val="0"/>
          <w:sz w:val="32"/>
          <w:szCs w:val="32"/>
        </w:rPr>
        <w:t>第二十三条</w:t>
      </w:r>
      <w:r>
        <w:rPr>
          <w:rFonts w:ascii="宋体;SimSun" w:hAnsi="宋体;SimSun" w:cs="仿宋_GB2312" w:hint="eastAsia" w:eastAsia="仿宋_GB2312"/>
          <w:bCs/>
          <w:kern w:val="0"/>
          <w:sz w:val="32"/>
          <w:szCs w:val="32"/>
        </w:rPr>
        <w:t xml:space="preserve">  市、县（市、区）人民政府应当建立健全防范、打击治理电信网络诈骗协调工作机制，统筹推进本行政区域内防范、打击治理电信网络诈骗工作。</w:t>
      </w:r>
    </w:p>
    <w:p>
      <w:pPr>
        <w:pStyle w:val="Normal"/>
        <w:ind w:firstLineChars="200" w:startChars="0" w:start="0" w:endChars="0" w:end="0"/>
        <w:rPr>
          <w:rFonts w:ascii="宋体;SimSun" w:hAnsi="宋体;SimSun" w:eastAsia="仿宋_GB2312" w:cs="仿宋_GB2312" w:hint="eastAsia"/>
          <w:bCs/>
          <w:kern w:val="0"/>
          <w:sz w:val="32"/>
          <w:szCs w:val="32"/>
        </w:rPr>
      </w:pPr>
      <w:r>
        <w:rPr>
          <w:rFonts w:ascii="宋体;SimSun" w:hAnsi="宋体;SimSun" w:cs="仿宋_GB2312" w:hint="eastAsia" w:eastAsia="仿宋_GB2312"/>
          <w:bCs/>
          <w:kern w:val="0"/>
          <w:sz w:val="32"/>
          <w:szCs w:val="32"/>
        </w:rPr>
        <w:t>公安机关应当会同金融监管、网信、工业和信息化等主管部门依法建立联动机制，开展防范电信网络诈骗宣传活动，打击电信网络诈骗违法犯罪行为。</w:t>
      </w:r>
    </w:p>
    <w:p>
      <w:pPr>
        <w:pStyle w:val="Normal"/>
        <w:ind w:firstLineChars="200" w:startChars="0" w:start="0" w:endChars="0" w:end="0"/>
        <w:rPr>
          <w:rFonts w:ascii="宋体;SimSun" w:hAnsi="宋体;SimSun" w:eastAsia="仿宋_GB2312" w:cs="仿宋_GB2312" w:hint="eastAsia"/>
          <w:bCs/>
          <w:kern w:val="0"/>
          <w:sz w:val="32"/>
          <w:szCs w:val="32"/>
        </w:rPr>
      </w:pPr>
      <w:r>
        <w:rPr>
          <w:rFonts w:ascii="宋体;SimSun" w:hAnsi="宋体;SimSun" w:cs="仿宋_GB2312" w:hint="eastAsia" w:eastAsia="仿宋_GB2312"/>
          <w:bCs/>
          <w:kern w:val="0"/>
          <w:sz w:val="32"/>
          <w:szCs w:val="32"/>
        </w:rPr>
        <w:t>电信运营商、金融机构（含支付机构）、互联网企业等市场主体应当建立健全电信网络诈骗风险防控机制，加强反诈骗风险监测，发现涉嫌违法犯罪情形的，应当采取相应措施，及时向客户作出风险提示并向公安机关报告。</w:t>
      </w:r>
    </w:p>
    <w:p>
      <w:pPr>
        <w:pStyle w:val="Normal"/>
        <w:ind w:firstLineChars="200" w:startChars="0" w:start="0" w:endChars="0" w:end="0"/>
        <w:rPr/>
      </w:pPr>
      <w:r>
        <w:rPr>
          <w:rFonts w:ascii="宋体;SimSun" w:hAnsi="宋体;SimSun" w:cs="黑体;SimHei" w:hint="eastAsia" w:eastAsia="黑体;SimHei"/>
          <w:bCs/>
          <w:kern w:val="0"/>
          <w:sz w:val="32"/>
          <w:szCs w:val="32"/>
        </w:rPr>
        <w:t>第二十四条</w:t>
      </w:r>
      <w:r>
        <w:rPr>
          <w:rFonts w:ascii="宋体;SimSun" w:hAnsi="宋体;SimSun" w:cs="仿宋_GB2312" w:hint="eastAsia" w:eastAsia="仿宋_GB2312"/>
          <w:bCs/>
          <w:kern w:val="0"/>
          <w:sz w:val="32"/>
          <w:szCs w:val="32"/>
        </w:rPr>
        <w:t xml:space="preserve">  市、县（市、区）人民政府应当建立健全防范和处置非法集资工作机制，统筹本行政区域内防范和处置非法集资工作。</w:t>
      </w:r>
    </w:p>
    <w:p>
      <w:pPr>
        <w:pStyle w:val="Normal"/>
        <w:ind w:firstLineChars="200" w:startChars="0" w:start="0" w:endChars="0" w:end="0"/>
        <w:rPr>
          <w:rFonts w:ascii="宋体;SimSun" w:hAnsi="宋体;SimSun" w:eastAsia="仿宋_GB2312" w:cs="仿宋_GB2312" w:hint="eastAsia"/>
          <w:bCs/>
          <w:kern w:val="0"/>
          <w:sz w:val="32"/>
          <w:szCs w:val="32"/>
        </w:rPr>
      </w:pPr>
      <w:r>
        <w:rPr>
          <w:rFonts w:ascii="宋体;SimSun" w:hAnsi="宋体;SimSun" w:cs="仿宋_GB2312" w:hint="eastAsia" w:eastAsia="仿宋_GB2312"/>
          <w:bCs/>
          <w:kern w:val="0"/>
          <w:sz w:val="32"/>
          <w:szCs w:val="32"/>
        </w:rPr>
        <w:t>金融机构、非银行支付机构应当对资金异常流动进行监管，依法严格执行大额交易和可疑交易报告制度，对涉嫌非法集资资金异常流动的相关账户进行分析识别，并将有关情况依法及时报告相关主管部门。</w:t>
      </w:r>
    </w:p>
    <w:p>
      <w:pPr>
        <w:pStyle w:val="Normal"/>
        <w:ind w:firstLineChars="200" w:startChars="0" w:start="0" w:endChars="0" w:end="0"/>
        <w:rPr>
          <w:rFonts w:ascii="宋体;SimSun" w:hAnsi="宋体;SimSun" w:eastAsia="仿宋_GB2312" w:cs="仿宋_GB2312" w:hint="eastAsia"/>
          <w:bCs/>
          <w:kern w:val="0"/>
          <w:sz w:val="32"/>
          <w:szCs w:val="32"/>
        </w:rPr>
      </w:pPr>
      <w:r>
        <w:rPr>
          <w:rFonts w:ascii="宋体;SimSun" w:hAnsi="宋体;SimSun" w:cs="仿宋_GB2312" w:hint="eastAsia" w:eastAsia="仿宋_GB2312"/>
          <w:bCs/>
          <w:kern w:val="0"/>
          <w:sz w:val="32"/>
          <w:szCs w:val="32"/>
        </w:rPr>
        <w:t>处置非法集资牵头部门、行业主管部门、监管部门应当加强对非法集资的风险排查和监测预警，对可能存在非法集资风险的，应当依法对相关单位和个人进行警示约谈，责令限期整改。</w:t>
      </w:r>
    </w:p>
    <w:p>
      <w:pPr>
        <w:pStyle w:val="Normal"/>
        <w:ind w:firstLineChars="200" w:startChars="0" w:start="0" w:endChars="0" w:end="0"/>
        <w:rPr/>
      </w:pPr>
      <w:r>
        <w:rPr>
          <w:rFonts w:ascii="宋体;SimSun" w:hAnsi="宋体;SimSun" w:cs="黑体;SimHei" w:hint="eastAsia" w:eastAsia="黑体;SimHei"/>
          <w:bCs/>
          <w:kern w:val="0"/>
          <w:sz w:val="32"/>
          <w:szCs w:val="32"/>
        </w:rPr>
        <w:t>第二十五条</w:t>
      </w:r>
      <w:r>
        <w:rPr>
          <w:rFonts w:ascii="宋体;SimSun" w:hAnsi="宋体;SimSun" w:cs="仿宋_GB2312" w:hint="eastAsia" w:eastAsia="仿宋_GB2312"/>
          <w:bCs/>
          <w:kern w:val="0"/>
          <w:sz w:val="32"/>
          <w:szCs w:val="32"/>
        </w:rPr>
        <w:t xml:space="preserve">  市场监管、卫生健康等相关主管部门应当加强食品、药品、医疗器械、化妆品的安全监督管理工作，严格管理麻醉药品、精神药品、药品类易制毒化学品等的生产、流通和使用，完善安全事故应急处置机制。</w:t>
      </w:r>
    </w:p>
    <w:p>
      <w:pPr>
        <w:pStyle w:val="Normal"/>
        <w:ind w:firstLineChars="200" w:startChars="0" w:start="0" w:endChars="0" w:end="0"/>
        <w:rPr>
          <w:rFonts w:ascii="宋体;SimSun" w:hAnsi="宋体;SimSun" w:eastAsia="仿宋_GB2312" w:cs="仿宋_GB2312" w:hint="eastAsia"/>
          <w:bCs/>
          <w:kern w:val="0"/>
          <w:sz w:val="32"/>
          <w:szCs w:val="32"/>
        </w:rPr>
      </w:pPr>
      <w:r>
        <w:rPr>
          <w:rFonts w:ascii="宋体;SimSun" w:hAnsi="宋体;SimSun" w:cs="仿宋_GB2312" w:hint="eastAsia" w:eastAsia="仿宋_GB2312"/>
          <w:bCs/>
          <w:kern w:val="0"/>
          <w:sz w:val="32"/>
          <w:szCs w:val="32"/>
        </w:rPr>
        <w:t>有关企业应当建立健全食品药品安全主体责任自查制度，明确企业安全责任人，依法履行生产经营食品药品的安全义务。</w:t>
      </w:r>
    </w:p>
    <w:p>
      <w:pPr>
        <w:pStyle w:val="Normal"/>
        <w:ind w:firstLineChars="200" w:startChars="0" w:start="0" w:endChars="0" w:end="0"/>
        <w:rPr>
          <w:rFonts w:ascii="宋体;SimSun" w:hAnsi="宋体;SimSun" w:eastAsia="仿宋_GB2312" w:cs="仿宋_GB2312" w:hint="eastAsia"/>
          <w:bCs/>
          <w:kern w:val="0"/>
          <w:sz w:val="32"/>
          <w:szCs w:val="32"/>
        </w:rPr>
      </w:pPr>
      <w:r>
        <w:rPr>
          <w:rFonts w:ascii="宋体;SimSun" w:hAnsi="宋体;SimSun" w:cs="黑体;SimHei" w:hint="eastAsia" w:eastAsia="黑体;SimHei"/>
          <w:bCs/>
          <w:kern w:val="0"/>
          <w:sz w:val="32"/>
          <w:szCs w:val="32"/>
        </w:rPr>
        <w:t>第二十六条</w:t>
      </w:r>
      <w:r>
        <w:rPr>
          <w:rFonts w:ascii="宋体;SimSun" w:hAnsi="宋体;SimSun" w:cs="仿宋_GB2312" w:hint="eastAsia" w:eastAsia="仿宋_GB2312"/>
          <w:bCs/>
          <w:kern w:val="0"/>
          <w:sz w:val="32"/>
          <w:szCs w:val="32"/>
        </w:rPr>
        <w:t xml:space="preserve">  平安建设成员单位应当按照各自职责对共享经济、数字经济、平台经济等新经济、新业态、新技术下可能存</w:t>
      </w:r>
      <w:r>
        <w:rPr>
          <w:rFonts w:ascii="宋体;SimSun" w:hAnsi="宋体;SimSun" w:cs="仿宋_GB2312" w:hint="eastAsia" w:eastAsia="仿宋_GB2312"/>
          <w:bCs/>
          <w:spacing w:val="-6"/>
          <w:kern w:val="0"/>
          <w:sz w:val="32"/>
          <w:szCs w:val="32"/>
        </w:rPr>
        <w:t>在的安全风险进行分析、研判，建立相应的全流程防范和监管机制。</w:t>
      </w:r>
    </w:p>
    <w:p>
      <w:pPr>
        <w:pStyle w:val="Normal"/>
        <w:ind w:firstLineChars="200" w:startChars="0" w:start="0" w:endChars="0" w:end="0"/>
        <w:rPr>
          <w:rFonts w:ascii="宋体;SimSun" w:hAnsi="宋体;SimSun" w:eastAsia="仿宋_GB2312" w:cs="仿宋_GB2312" w:hint="eastAsia"/>
          <w:bCs/>
          <w:kern w:val="0"/>
          <w:sz w:val="32"/>
          <w:szCs w:val="32"/>
        </w:rPr>
      </w:pPr>
      <w:r>
        <w:rPr>
          <w:rFonts w:eastAsia="仿宋_GB2312" w:cs="仿宋_GB2312" w:hint="eastAsia" w:ascii="宋体;SimSun" w:hAnsi="宋体;SimSun"/>
          <w:bCs/>
          <w:kern w:val="0"/>
          <w:sz w:val="32"/>
          <w:szCs w:val="32"/>
        </w:rPr>
      </w:r>
    </w:p>
    <w:p>
      <w:pPr>
        <w:pStyle w:val="Normal"/>
        <w:jc w:val="center"/>
        <w:rPr>
          <w:rFonts w:ascii="宋体;SimSun" w:hAnsi="宋体;SimSun" w:eastAsia="黑体;SimHei" w:cs="宋体;SimSun" w:hint="eastAsia"/>
          <w:sz w:val="32"/>
          <w:szCs w:val="32"/>
        </w:rPr>
      </w:pPr>
      <w:r>
        <w:rPr>
          <w:rFonts w:ascii="宋体;SimSun" w:hAnsi="宋体;SimSun" w:cs="宋体;SimSun" w:hint="eastAsia" w:eastAsia="黑体;SimHei"/>
          <w:sz w:val="32"/>
          <w:szCs w:val="32"/>
        </w:rPr>
        <w:t>第四章  纠纷化解</w:t>
      </w:r>
    </w:p>
    <w:p>
      <w:pPr>
        <w:pStyle w:val="Normal"/>
        <w:rPr>
          <w:rFonts w:ascii="宋体;SimSun" w:hAnsi="宋体;SimSun" w:eastAsia="仿宋_GB2312" w:cs="仿宋_GB2312" w:hint="eastAsia"/>
          <w:bCs/>
          <w:kern w:val="0"/>
          <w:sz w:val="32"/>
          <w:szCs w:val="32"/>
        </w:rPr>
      </w:pPr>
      <w:r>
        <w:rPr>
          <w:rFonts w:eastAsia="仿宋_GB2312" w:cs="仿宋_GB2312" w:hint="eastAsia" w:ascii="宋体;SimSun" w:hAnsi="宋体;SimSun"/>
          <w:bCs/>
          <w:kern w:val="0"/>
          <w:sz w:val="32"/>
          <w:szCs w:val="32"/>
        </w:rPr>
      </w:r>
    </w:p>
    <w:p>
      <w:pPr>
        <w:pStyle w:val="Normal"/>
        <w:ind w:firstLineChars="200" w:startChars="0" w:start="0" w:endChars="0" w:end="0"/>
        <w:rPr/>
      </w:pPr>
      <w:r>
        <w:rPr>
          <w:rFonts w:ascii="宋体;SimSun" w:hAnsi="宋体;SimSun" w:cs="黑体;SimHei" w:hint="eastAsia" w:eastAsia="黑体;SimHei"/>
          <w:bCs/>
          <w:kern w:val="0"/>
          <w:sz w:val="32"/>
          <w:szCs w:val="32"/>
        </w:rPr>
        <w:t>第二十七条</w:t>
      </w:r>
      <w:r>
        <w:rPr>
          <w:rFonts w:ascii="宋体;SimSun" w:hAnsi="宋体;SimSun" w:cs="仿宋_GB2312" w:hint="eastAsia" w:eastAsia="仿宋_GB2312"/>
          <w:bCs/>
          <w:kern w:val="0"/>
          <w:sz w:val="32"/>
          <w:szCs w:val="32"/>
        </w:rPr>
        <w:t xml:space="preserve">  市、县（市、区）人民政府，乡</w:t>
      </w:r>
      <w:r>
        <w:rPr>
          <w:rFonts w:eastAsia="仿宋_GB2312" w:cs="仿宋_GB2312" w:hint="eastAsia" w:ascii="宋体;SimSun" w:hAnsi="宋体;SimSun"/>
          <w:bCs/>
          <w:kern w:val="0"/>
          <w:sz w:val="32"/>
          <w:szCs w:val="32"/>
        </w:rPr>
        <w:t>(</w:t>
      </w:r>
      <w:r>
        <w:rPr>
          <w:rFonts w:ascii="宋体;SimSun" w:hAnsi="宋体;SimSun" w:cs="仿宋_GB2312" w:hint="eastAsia" w:eastAsia="仿宋_GB2312"/>
          <w:bCs/>
          <w:kern w:val="0"/>
          <w:sz w:val="32"/>
          <w:szCs w:val="32"/>
        </w:rPr>
        <w:t>镇</w:t>
      </w:r>
      <w:r>
        <w:rPr>
          <w:rFonts w:eastAsia="仿宋_GB2312" w:cs="仿宋_GB2312" w:hint="eastAsia" w:ascii="宋体;SimSun" w:hAnsi="宋体;SimSun"/>
          <w:bCs/>
          <w:kern w:val="0"/>
          <w:sz w:val="32"/>
          <w:szCs w:val="32"/>
        </w:rPr>
        <w:t>)</w:t>
      </w:r>
      <w:r>
        <w:rPr>
          <w:rFonts w:ascii="宋体;SimSun" w:hAnsi="宋体;SimSun" w:cs="仿宋_GB2312" w:hint="eastAsia" w:eastAsia="仿宋_GB2312"/>
          <w:bCs/>
          <w:kern w:val="0"/>
          <w:sz w:val="32"/>
          <w:szCs w:val="32"/>
        </w:rPr>
        <w:t>人民政府和街道办事处应当依法为当事人提供公平公正、便捷高效的纠纷化解服务。</w:t>
      </w:r>
    </w:p>
    <w:p>
      <w:pPr>
        <w:pStyle w:val="Normal"/>
        <w:ind w:firstLineChars="200" w:startChars="0" w:start="0" w:endChars="0" w:end="0"/>
        <w:rPr>
          <w:rFonts w:ascii="宋体;SimSun" w:hAnsi="宋体;SimSun" w:eastAsia="仿宋_GB2312" w:cs="仿宋_GB2312" w:hint="eastAsia"/>
          <w:bCs/>
          <w:kern w:val="0"/>
          <w:sz w:val="32"/>
          <w:szCs w:val="32"/>
        </w:rPr>
      </w:pPr>
      <w:r>
        <w:rPr>
          <w:rFonts w:ascii="宋体;SimSun" w:hAnsi="宋体;SimSun" w:cs="仿宋_GB2312" w:hint="eastAsia" w:eastAsia="仿宋_GB2312"/>
          <w:bCs/>
          <w:kern w:val="0"/>
          <w:sz w:val="32"/>
          <w:szCs w:val="32"/>
        </w:rPr>
        <w:t>市、县（市、区）平安建设领导小组按照预防为主、调解优先的原则，促进人民调解、行政调解、司法调解有机衔接，形成矛盾纠纷多元化解的大调解工作格局。</w:t>
      </w:r>
    </w:p>
    <w:p>
      <w:pPr>
        <w:pStyle w:val="Normal"/>
        <w:ind w:firstLineChars="200" w:startChars="0" w:start="0" w:endChars="0" w:end="0"/>
        <w:rPr>
          <w:rFonts w:ascii="宋体;SimSun" w:hAnsi="宋体;SimSun" w:eastAsia="仿宋_GB2312" w:cs="仿宋_GB2312" w:hint="eastAsia"/>
          <w:bCs/>
          <w:kern w:val="0"/>
          <w:sz w:val="32"/>
          <w:szCs w:val="32"/>
        </w:rPr>
      </w:pPr>
      <w:r>
        <w:rPr>
          <w:rFonts w:ascii="宋体;SimSun" w:hAnsi="宋体;SimSun" w:cs="仿宋_GB2312" w:hint="eastAsia" w:eastAsia="仿宋_GB2312"/>
          <w:bCs/>
          <w:kern w:val="0"/>
          <w:sz w:val="32"/>
          <w:szCs w:val="32"/>
        </w:rPr>
        <w:t>市、县（市、区）人民政府，乡</w:t>
      </w:r>
      <w:r>
        <w:rPr>
          <w:rFonts w:eastAsia="仿宋_GB2312" w:cs="仿宋_GB2312" w:hint="eastAsia" w:ascii="宋体;SimSun" w:hAnsi="宋体;SimSun"/>
          <w:bCs/>
          <w:kern w:val="0"/>
          <w:sz w:val="32"/>
          <w:szCs w:val="32"/>
        </w:rPr>
        <w:t>(</w:t>
      </w:r>
      <w:r>
        <w:rPr>
          <w:rFonts w:ascii="宋体;SimSun" w:hAnsi="宋体;SimSun" w:cs="仿宋_GB2312" w:hint="eastAsia" w:eastAsia="仿宋_GB2312"/>
          <w:bCs/>
          <w:kern w:val="0"/>
          <w:sz w:val="32"/>
          <w:szCs w:val="32"/>
        </w:rPr>
        <w:t>镇</w:t>
      </w:r>
      <w:r>
        <w:rPr>
          <w:rFonts w:eastAsia="仿宋_GB2312" w:cs="仿宋_GB2312" w:hint="eastAsia" w:ascii="宋体;SimSun" w:hAnsi="宋体;SimSun"/>
          <w:bCs/>
          <w:kern w:val="0"/>
          <w:sz w:val="32"/>
          <w:szCs w:val="32"/>
        </w:rPr>
        <w:t>)</w:t>
      </w:r>
      <w:r>
        <w:rPr>
          <w:rFonts w:ascii="宋体;SimSun" w:hAnsi="宋体;SimSun" w:cs="仿宋_GB2312" w:hint="eastAsia" w:eastAsia="仿宋_GB2312"/>
          <w:bCs/>
          <w:kern w:val="0"/>
          <w:sz w:val="32"/>
          <w:szCs w:val="32"/>
        </w:rPr>
        <w:t>人民政府和街道办事处建立矛盾纠纷多元化解联席会议制度，加强对跨区域、跨部门、跨行业的矛盾纠纷联合调处，防止矛盾纠纷上行外溢。</w:t>
      </w:r>
    </w:p>
    <w:p>
      <w:pPr>
        <w:pStyle w:val="Normal"/>
        <w:ind w:firstLineChars="200" w:startChars="0" w:start="0" w:endChars="0" w:end="0"/>
        <w:rPr/>
      </w:pPr>
      <w:r>
        <w:rPr>
          <w:rFonts w:ascii="宋体;SimSun" w:hAnsi="宋体;SimSun" w:cs="黑体;SimHei" w:hint="eastAsia" w:eastAsia="黑体;SimHei"/>
          <w:bCs/>
          <w:kern w:val="0"/>
          <w:sz w:val="32"/>
          <w:szCs w:val="32"/>
        </w:rPr>
        <w:t>第二十八条</w:t>
      </w:r>
      <w:r>
        <w:rPr>
          <w:rFonts w:ascii="宋体;SimSun" w:hAnsi="宋体;SimSun" w:cs="仿宋_GB2312" w:hint="eastAsia" w:eastAsia="仿宋_GB2312"/>
          <w:bCs/>
          <w:kern w:val="0"/>
          <w:sz w:val="32"/>
          <w:szCs w:val="32"/>
        </w:rPr>
        <w:t xml:space="preserve">  人民法院牵头负责司法调解工作，完善全面、全程、全员调解工作机制和特邀调解员制度，健全诉讼与非诉讼衔接的纠纷化解机制，加强与行政机关、公证机构、仲裁机构和调解组织的协调配合，推动在程序安排、效力确认、生效法律文书执行和法律指导等方面的有机衔接，为纠纷解决提供司法保障。</w:t>
      </w:r>
    </w:p>
    <w:p>
      <w:pPr>
        <w:pStyle w:val="Normal"/>
        <w:ind w:firstLineChars="200" w:startChars="0" w:start="0" w:endChars="0" w:end="0"/>
        <w:rPr/>
      </w:pPr>
      <w:r>
        <w:rPr>
          <w:rFonts w:ascii="宋体;SimSun" w:hAnsi="宋体;SimSun" w:cs="黑体;SimHei" w:hint="eastAsia" w:eastAsia="黑体;SimHei"/>
          <w:bCs/>
          <w:kern w:val="0"/>
          <w:sz w:val="32"/>
          <w:szCs w:val="32"/>
        </w:rPr>
        <w:t>第二十九条</w:t>
      </w:r>
      <w:r>
        <w:rPr>
          <w:rFonts w:ascii="宋体;SimSun" w:hAnsi="宋体;SimSun" w:cs="仿宋_GB2312" w:hint="eastAsia" w:eastAsia="仿宋_GB2312"/>
          <w:bCs/>
          <w:kern w:val="0"/>
          <w:sz w:val="32"/>
          <w:szCs w:val="32"/>
        </w:rPr>
        <w:t xml:space="preserve">  人民检察院依法履行法律监督职责，完善检调对接、刑事和解、公开听证、司法救助、律师参与化解和代理涉法涉诉信访案件等多元化解纠纷工作机制，引导当事人选择适宜的途径解决纠纷。</w:t>
      </w:r>
    </w:p>
    <w:p>
      <w:pPr>
        <w:pStyle w:val="Normal"/>
        <w:ind w:firstLineChars="200" w:startChars="0" w:start="0" w:endChars="0" w:end="0"/>
        <w:rPr/>
      </w:pPr>
      <w:r>
        <w:rPr>
          <w:rFonts w:ascii="宋体;SimSun" w:hAnsi="宋体;SimSun" w:cs="黑体;SimHei" w:hint="eastAsia" w:eastAsia="黑体;SimHei"/>
          <w:bCs/>
          <w:kern w:val="0"/>
          <w:sz w:val="32"/>
          <w:szCs w:val="32"/>
        </w:rPr>
        <w:t>第三十条</w:t>
      </w:r>
      <w:r>
        <w:rPr>
          <w:rFonts w:ascii="宋体;SimSun" w:hAnsi="宋体;SimSun" w:cs="仿宋_GB2312" w:hint="eastAsia" w:eastAsia="仿宋_GB2312"/>
          <w:bCs/>
          <w:kern w:val="0"/>
          <w:sz w:val="32"/>
          <w:szCs w:val="32"/>
        </w:rPr>
        <w:t xml:space="preserve">  公安机关应当加强治安案件、交通事故纠纷调解工作，支持和参与乡镇（街道）、村（居）民委员会纠纷化解工作，按照有关规定及时组织相应警力处置突发治安事件。</w:t>
      </w:r>
    </w:p>
    <w:p>
      <w:pPr>
        <w:pStyle w:val="Normal"/>
        <w:ind w:firstLineChars="200" w:startChars="0" w:start="0" w:endChars="0" w:end="0"/>
        <w:rPr/>
      </w:pPr>
      <w:r>
        <w:rPr>
          <w:rFonts w:ascii="宋体;SimSun" w:hAnsi="宋体;SimSun" w:cs="黑体;SimHei" w:hint="eastAsia" w:eastAsia="黑体;SimHei"/>
          <w:bCs/>
          <w:kern w:val="0"/>
          <w:sz w:val="32"/>
          <w:szCs w:val="32"/>
        </w:rPr>
        <w:t>第三十一条</w:t>
      </w:r>
      <w:r>
        <w:rPr>
          <w:rFonts w:ascii="宋体;SimSun" w:hAnsi="宋体;SimSun" w:cs="仿宋_GB2312" w:hint="eastAsia" w:eastAsia="仿宋_GB2312"/>
          <w:bCs/>
          <w:kern w:val="0"/>
          <w:sz w:val="32"/>
          <w:szCs w:val="32"/>
        </w:rPr>
        <w:t xml:space="preserve">  司法行政部门应当加强普法教育，健全普法工作体系，推进“谁执法谁普法”责任制落实，提升公民法治素养和社会治理法治化水平；加强对调解、仲裁、行政裁决、行政复议的工作指导和综合协调。指导乡镇及基层自治组织和行业性、专业性的人民调解组织建设，推动律师事务所、公证机构、司法鉴定机构、基层法律服务所等参与矛盾纠纷化解。</w:t>
      </w:r>
    </w:p>
    <w:p>
      <w:pPr>
        <w:pStyle w:val="Normal"/>
        <w:ind w:firstLineChars="200" w:startChars="0" w:start="0" w:endChars="0" w:end="0"/>
        <w:rPr/>
      </w:pPr>
      <w:r>
        <w:rPr>
          <w:rFonts w:ascii="宋体;SimSun" w:hAnsi="宋体;SimSun" w:cs="黑体;SimHei" w:hint="eastAsia" w:eastAsia="黑体;SimHei"/>
          <w:bCs/>
          <w:kern w:val="0"/>
          <w:sz w:val="32"/>
          <w:szCs w:val="32"/>
        </w:rPr>
        <w:t>第三十二条</w:t>
      </w:r>
      <w:r>
        <w:rPr>
          <w:rFonts w:ascii="宋体;SimSun" w:hAnsi="宋体;SimSun" w:cs="仿宋_GB2312" w:hint="eastAsia" w:eastAsia="仿宋_GB2312"/>
          <w:bCs/>
          <w:kern w:val="0"/>
          <w:sz w:val="32"/>
          <w:szCs w:val="32"/>
        </w:rPr>
        <w:t xml:space="preserve">  相关行业主管部门应当指导设立医患、劳务、婚恋家庭、消费、金融、物业、交通事故、环保、知识产权、房屋销售、土地承包经营、治安等领域矛盾纠纷专业调解组织，调解相关领域的矛盾纠纷。鼓励和支持人大代表、政协委员、律师及其他法律工作者参加专业调解组织。</w:t>
      </w:r>
    </w:p>
    <w:p>
      <w:pPr>
        <w:pStyle w:val="Normal"/>
        <w:ind w:firstLineChars="200" w:startChars="0" w:start="0" w:endChars="0" w:end="0"/>
        <w:rPr/>
      </w:pPr>
      <w:r>
        <w:rPr>
          <w:rFonts w:ascii="宋体;SimSun" w:hAnsi="宋体;SimSun" w:cs="黑体;SimHei" w:hint="eastAsia" w:eastAsia="黑体;SimHei"/>
          <w:bCs/>
          <w:kern w:val="0"/>
          <w:sz w:val="32"/>
          <w:szCs w:val="32"/>
        </w:rPr>
        <w:t>第三十三条</w:t>
      </w:r>
      <w:r>
        <w:rPr>
          <w:rFonts w:ascii="宋体;SimSun" w:hAnsi="宋体;SimSun" w:cs="仿宋_GB2312" w:hint="eastAsia" w:eastAsia="仿宋_GB2312"/>
          <w:bCs/>
          <w:kern w:val="0"/>
          <w:sz w:val="32"/>
          <w:szCs w:val="32"/>
        </w:rPr>
        <w:t xml:space="preserve">  信访部门应当建立信访与调解、仲裁、行政裁决、行政复议和诉讼等途径相衔接的工作机制，畅通信访渠道，依法分类处理信访诉求，跟踪、督促和协调信访事项的办理。</w:t>
      </w:r>
    </w:p>
    <w:p>
      <w:pPr>
        <w:pStyle w:val="Normal"/>
        <w:ind w:firstLineChars="200" w:startChars="0" w:start="0" w:endChars="0" w:end="0"/>
        <w:rPr>
          <w:rFonts w:ascii="宋体;SimSun" w:hAnsi="宋体;SimSun" w:eastAsia="仿宋_GB2312" w:cs="仿宋_GB2312" w:hint="eastAsia"/>
          <w:bCs/>
          <w:kern w:val="0"/>
          <w:sz w:val="32"/>
          <w:szCs w:val="32"/>
        </w:rPr>
      </w:pPr>
      <w:r>
        <w:rPr>
          <w:rFonts w:ascii="宋体;SimSun" w:hAnsi="宋体;SimSun" w:cs="黑体;SimHei" w:hint="eastAsia" w:eastAsia="黑体;SimHei"/>
          <w:bCs/>
          <w:kern w:val="0"/>
          <w:sz w:val="32"/>
          <w:szCs w:val="32"/>
        </w:rPr>
        <w:t>第三十四条</w:t>
      </w:r>
      <w:r>
        <w:rPr>
          <w:rFonts w:ascii="宋体;SimSun" w:hAnsi="宋体;SimSun" w:cs="仿宋_GB2312" w:hint="eastAsia" w:eastAsia="仿宋_GB2312"/>
          <w:bCs/>
          <w:kern w:val="0"/>
          <w:sz w:val="32"/>
          <w:szCs w:val="32"/>
        </w:rPr>
        <w:t xml:space="preserve">  工会、共青团、妇联、残联、工商联等群团组织和人民团体，以及消保委、商会、行业协会、民办非企业单位</w:t>
      </w:r>
      <w:r>
        <w:rPr>
          <w:rFonts w:ascii="宋体;SimSun" w:hAnsi="宋体;SimSun" w:cs="仿宋_GB2312" w:hint="eastAsia" w:eastAsia="仿宋_GB2312"/>
          <w:bCs/>
          <w:spacing w:val="-6"/>
          <w:kern w:val="0"/>
          <w:sz w:val="32"/>
          <w:szCs w:val="32"/>
        </w:rPr>
        <w:t>等，结合各自职责协助有关部门维护社会治安秩序，参与纠纷解决。</w:t>
      </w:r>
    </w:p>
    <w:p>
      <w:pPr>
        <w:pStyle w:val="Normal"/>
        <w:ind w:firstLineChars="200" w:startChars="0" w:start="0" w:endChars="0" w:end="0"/>
        <w:rPr/>
      </w:pPr>
      <w:r>
        <w:rPr>
          <w:rFonts w:ascii="宋体;SimSun" w:hAnsi="宋体;SimSun" w:cs="黑体;SimHei" w:hint="eastAsia" w:eastAsia="黑体;SimHei"/>
          <w:bCs/>
          <w:kern w:val="0"/>
          <w:sz w:val="32"/>
          <w:szCs w:val="32"/>
        </w:rPr>
        <w:t>第三十五条</w:t>
      </w:r>
      <w:r>
        <w:rPr>
          <w:rFonts w:ascii="宋体;SimSun" w:hAnsi="宋体;SimSun" w:cs="仿宋_GB2312" w:hint="eastAsia" w:eastAsia="仿宋_GB2312"/>
          <w:bCs/>
          <w:kern w:val="0"/>
          <w:sz w:val="32"/>
          <w:szCs w:val="32"/>
        </w:rPr>
        <w:t xml:space="preserve">  加强人民调解员队伍建设和管理，提高人民调解专业化、职业化水平。</w:t>
      </w:r>
    </w:p>
    <w:p>
      <w:pPr>
        <w:pStyle w:val="Style15"/>
        <w:widowControl w:val="false"/>
        <w:spacing w:before="0" w:after="0"/>
        <w:ind w:firstLineChars="200" w:startChars="0" w:start="0" w:endChars="0" w:end="0"/>
        <w:jc w:val="both"/>
        <w:rPr>
          <w:rFonts w:eastAsia="仿宋_GB2312" w:cs="仿宋_GB2312" w:hint="eastAsia"/>
          <w:bCs/>
          <w:sz w:val="32"/>
          <w:szCs w:val="32"/>
        </w:rPr>
      </w:pPr>
      <w:r>
        <w:rPr>
          <w:rFonts w:cs="仿宋_GB2312" w:hint="eastAsia" w:eastAsia="仿宋_GB2312"/>
          <w:bCs/>
          <w:sz w:val="32"/>
          <w:szCs w:val="32"/>
        </w:rPr>
        <w:t>鼓励和支持基层人民调解委员会邀请具有专门知识、特定经验的人员，以及公道正派、热心调解、群众认可的社会人士担任人民调解员。</w:t>
      </w:r>
    </w:p>
    <w:p>
      <w:pPr>
        <w:pStyle w:val="Normal"/>
        <w:ind w:firstLineChars="200" w:startChars="0" w:start="0" w:endChars="0" w:end="0"/>
        <w:rPr>
          <w:rFonts w:ascii="宋体;SimSun" w:hAnsi="宋体;SimSun" w:eastAsia="仿宋_GB2312" w:cs="仿宋_GB2312" w:hint="eastAsia"/>
          <w:bCs/>
          <w:kern w:val="0"/>
          <w:sz w:val="32"/>
          <w:szCs w:val="32"/>
        </w:rPr>
      </w:pPr>
      <w:r>
        <w:rPr>
          <w:rFonts w:ascii="宋体;SimSun" w:hAnsi="宋体;SimSun" w:cs="仿宋_GB2312" w:hint="eastAsia" w:eastAsia="仿宋_GB2312"/>
          <w:bCs/>
          <w:kern w:val="0"/>
          <w:sz w:val="32"/>
          <w:szCs w:val="32"/>
        </w:rPr>
        <w:t>鼓励和支持群众认可度高、调解经验丰富的人民调解员成立个人调解工作室。</w:t>
      </w:r>
    </w:p>
    <w:p>
      <w:pPr>
        <w:pStyle w:val="Normal"/>
        <w:ind w:firstLineChars="200" w:startChars="0" w:start="0" w:endChars="0" w:end="0"/>
        <w:rPr>
          <w:rFonts w:ascii="宋体;SimSun" w:hAnsi="宋体;SimSun" w:eastAsia="仿宋_GB2312" w:cs="仿宋_GB2312" w:hint="eastAsia"/>
          <w:bCs/>
          <w:kern w:val="0"/>
          <w:sz w:val="32"/>
          <w:szCs w:val="32"/>
        </w:rPr>
      </w:pPr>
      <w:r>
        <w:rPr>
          <w:rFonts w:eastAsia="仿宋_GB2312" w:cs="仿宋_GB2312" w:hint="eastAsia" w:ascii="宋体;SimSun" w:hAnsi="宋体;SimSun"/>
          <w:bCs/>
          <w:kern w:val="0"/>
          <w:sz w:val="32"/>
          <w:szCs w:val="32"/>
        </w:rPr>
      </w:r>
    </w:p>
    <w:p>
      <w:pPr>
        <w:pStyle w:val="Normal"/>
        <w:jc w:val="center"/>
        <w:rPr>
          <w:rFonts w:ascii="宋体;SimSun" w:hAnsi="宋体;SimSun" w:eastAsia="黑体;SimHei" w:cs="宋体;SimSun" w:hint="eastAsia"/>
          <w:sz w:val="32"/>
          <w:szCs w:val="32"/>
        </w:rPr>
      </w:pPr>
      <w:r>
        <w:rPr>
          <w:rFonts w:ascii="宋体;SimSun" w:hAnsi="宋体;SimSun" w:cs="宋体;SimSun" w:hint="eastAsia" w:eastAsia="黑体;SimHei"/>
          <w:sz w:val="32"/>
          <w:szCs w:val="32"/>
        </w:rPr>
        <w:t>第五章  社会参与</w:t>
      </w:r>
    </w:p>
    <w:p>
      <w:pPr>
        <w:pStyle w:val="Normal"/>
        <w:rPr>
          <w:rFonts w:ascii="宋体;SimSun" w:hAnsi="宋体;SimSun" w:eastAsia="仿宋_GB2312" w:cs="仿宋_GB2312" w:hint="eastAsia"/>
          <w:bCs/>
          <w:kern w:val="0"/>
          <w:sz w:val="32"/>
          <w:szCs w:val="32"/>
        </w:rPr>
      </w:pPr>
      <w:r>
        <w:rPr>
          <w:rFonts w:eastAsia="仿宋_GB2312" w:cs="仿宋_GB2312" w:hint="eastAsia" w:ascii="宋体;SimSun" w:hAnsi="宋体;SimSun"/>
          <w:bCs/>
          <w:kern w:val="0"/>
          <w:sz w:val="32"/>
          <w:szCs w:val="32"/>
        </w:rPr>
      </w:r>
    </w:p>
    <w:p>
      <w:pPr>
        <w:pStyle w:val="Normal"/>
        <w:ind w:firstLineChars="200" w:startChars="0" w:start="0" w:endChars="0" w:end="0"/>
        <w:rPr/>
      </w:pPr>
      <w:r>
        <w:rPr>
          <w:rFonts w:ascii="宋体;SimSun" w:hAnsi="宋体;SimSun" w:cs="黑体;SimHei" w:hint="eastAsia" w:eastAsia="黑体;SimHei"/>
          <w:bCs/>
          <w:kern w:val="0"/>
          <w:sz w:val="32"/>
          <w:szCs w:val="32"/>
        </w:rPr>
        <w:t>第三十六条</w:t>
      </w:r>
      <w:r>
        <w:rPr>
          <w:rFonts w:ascii="宋体;SimSun" w:hAnsi="宋体;SimSun" w:cs="仿宋_GB2312" w:hint="eastAsia" w:eastAsia="仿宋_GB2312"/>
          <w:bCs/>
          <w:kern w:val="0"/>
          <w:sz w:val="32"/>
          <w:szCs w:val="32"/>
        </w:rPr>
        <w:t xml:space="preserve">  鼓励、支持村民委员会、居民委员会通过村规民约或者居民公约等形式，引导村民、居民参与平安建设活动。</w:t>
      </w:r>
    </w:p>
    <w:p>
      <w:pPr>
        <w:pStyle w:val="Normal"/>
        <w:ind w:firstLineChars="200" w:startChars="0" w:start="0" w:endChars="0" w:end="0"/>
        <w:rPr>
          <w:rFonts w:ascii="宋体;SimSun" w:hAnsi="宋体;SimSun" w:eastAsia="仿宋_GB2312" w:cs="仿宋_GB2312" w:hint="eastAsia"/>
          <w:bCs/>
          <w:kern w:val="0"/>
          <w:sz w:val="32"/>
          <w:szCs w:val="32"/>
        </w:rPr>
      </w:pPr>
      <w:r>
        <w:rPr>
          <w:rFonts w:ascii="宋体;SimSun" w:hAnsi="宋体;SimSun" w:cs="仿宋_GB2312" w:hint="eastAsia" w:eastAsia="仿宋_GB2312"/>
          <w:bCs/>
          <w:kern w:val="0"/>
          <w:sz w:val="32"/>
          <w:szCs w:val="32"/>
        </w:rPr>
        <w:t>鼓励单位和个人在房屋租赁等经营活动中，将平安建设的相关内容在租赁合同中予以约定。</w:t>
      </w:r>
    </w:p>
    <w:p>
      <w:pPr>
        <w:pStyle w:val="Normal"/>
        <w:ind w:firstLineChars="200" w:startChars="0" w:start="0" w:endChars="0" w:end="0"/>
        <w:rPr/>
      </w:pPr>
      <w:r>
        <w:rPr>
          <w:rFonts w:ascii="宋体;SimSun" w:hAnsi="宋体;SimSun" w:cs="黑体;SimHei" w:hint="eastAsia" w:eastAsia="黑体;SimHei"/>
          <w:bCs/>
          <w:kern w:val="0"/>
          <w:sz w:val="32"/>
          <w:szCs w:val="32"/>
        </w:rPr>
        <w:t>第三十七条</w:t>
      </w:r>
      <w:r>
        <w:rPr>
          <w:rFonts w:ascii="宋体;SimSun" w:hAnsi="宋体;SimSun" w:cs="仿宋_GB2312" w:hint="eastAsia" w:eastAsia="仿宋_GB2312"/>
          <w:bCs/>
          <w:kern w:val="0"/>
          <w:sz w:val="32"/>
          <w:szCs w:val="32"/>
        </w:rPr>
        <w:t xml:space="preserve">  鼓励、支持符合条件的社会组织参与社区治理、应急处置、社区矫正、社会帮教、服务特殊人群等平安建设活动。</w:t>
      </w:r>
    </w:p>
    <w:p>
      <w:pPr>
        <w:pStyle w:val="Normal"/>
        <w:ind w:firstLineChars="200" w:startChars="0" w:start="0" w:endChars="0" w:end="0"/>
        <w:rPr>
          <w:rFonts w:ascii="宋体;SimSun" w:hAnsi="宋体;SimSun" w:eastAsia="仿宋_GB2312" w:cs="仿宋_GB2312" w:hint="eastAsia"/>
          <w:bCs/>
          <w:kern w:val="0"/>
          <w:sz w:val="32"/>
          <w:szCs w:val="32"/>
        </w:rPr>
      </w:pPr>
      <w:r>
        <w:rPr>
          <w:rFonts w:ascii="宋体;SimSun" w:hAnsi="宋体;SimSun" w:cs="仿宋_GB2312" w:hint="eastAsia" w:eastAsia="仿宋_GB2312"/>
          <w:bCs/>
          <w:kern w:val="0"/>
          <w:sz w:val="32"/>
          <w:szCs w:val="32"/>
        </w:rPr>
        <w:t>鼓励、支持行业协会、商会发挥行业自律功能，引导成员参与平安建设活动，协助主管部门建立行业公共安全风险评估、化解和管控机制，防范和化解行业风险。</w:t>
      </w:r>
    </w:p>
    <w:p>
      <w:pPr>
        <w:pStyle w:val="Normal"/>
        <w:ind w:firstLineChars="200" w:startChars="0" w:start="0" w:endChars="0" w:end="0"/>
        <w:rPr>
          <w:rFonts w:ascii="宋体;SimSun" w:hAnsi="宋体;SimSun" w:eastAsia="仿宋_GB2312" w:cs="仿宋_GB2312" w:hint="eastAsia"/>
          <w:bCs/>
          <w:kern w:val="0"/>
          <w:sz w:val="32"/>
          <w:szCs w:val="32"/>
        </w:rPr>
      </w:pPr>
      <w:r>
        <w:rPr>
          <w:rFonts w:ascii="宋体;SimSun" w:hAnsi="宋体;SimSun" w:cs="仿宋_GB2312" w:hint="eastAsia" w:eastAsia="仿宋_GB2312"/>
          <w:bCs/>
          <w:kern w:val="0"/>
          <w:sz w:val="32"/>
          <w:szCs w:val="32"/>
        </w:rPr>
        <w:t>鼓励、支持社会组织和社会工作者为贫困、空巢、失独等特殊家庭，失能、失智、高龄独居老人，家事纠纷案件当事人、未成年人犯罪案件被告人和被害人等，提供心理辅导、危机干预、情绪疏解、悲伤抚慰、家庭关系调适等心理援助服务，防范和降低社会风险。</w:t>
      </w:r>
    </w:p>
    <w:p>
      <w:pPr>
        <w:pStyle w:val="Normal"/>
        <w:ind w:firstLineChars="200" w:startChars="0" w:start="0" w:endChars="0" w:end="0"/>
        <w:rPr/>
      </w:pPr>
      <w:r>
        <w:rPr>
          <w:rFonts w:ascii="宋体;SimSun" w:hAnsi="宋体;SimSun" w:cs="黑体;SimHei" w:hint="eastAsia" w:eastAsia="黑体;SimHei"/>
          <w:bCs/>
          <w:kern w:val="0"/>
          <w:sz w:val="32"/>
          <w:szCs w:val="32"/>
        </w:rPr>
        <w:t>第三十八条</w:t>
      </w:r>
      <w:r>
        <w:rPr>
          <w:rFonts w:ascii="宋体;SimSun" w:hAnsi="宋体;SimSun" w:cs="仿宋_GB2312" w:hint="eastAsia" w:eastAsia="仿宋_GB2312"/>
          <w:bCs/>
          <w:kern w:val="0"/>
          <w:sz w:val="32"/>
          <w:szCs w:val="32"/>
        </w:rPr>
        <w:t xml:space="preserve">  物业服务企业应当协助公安和其他有关部门做好其服务区域内的安全防范工作，可以根据相关单位的委托，协助开展治安巡查、居住登记、社区治理等平安建设工作，并依照物业服务合同履行维护公共秩序的职责。</w:t>
      </w:r>
    </w:p>
    <w:p>
      <w:pPr>
        <w:pStyle w:val="Normal"/>
        <w:ind w:firstLineChars="200" w:startChars="0" w:start="0" w:endChars="0" w:end="0"/>
        <w:rPr/>
      </w:pPr>
      <w:r>
        <w:rPr>
          <w:rFonts w:ascii="宋体;SimSun" w:hAnsi="宋体;SimSun" w:cs="黑体;SimHei" w:hint="eastAsia" w:eastAsia="黑体;SimHei"/>
          <w:bCs/>
          <w:kern w:val="0"/>
          <w:sz w:val="32"/>
          <w:szCs w:val="32"/>
        </w:rPr>
        <w:t>第三十九条</w:t>
      </w:r>
      <w:r>
        <w:rPr>
          <w:rFonts w:ascii="宋体;SimSun" w:hAnsi="宋体;SimSun" w:cs="仿宋_GB2312" w:hint="eastAsia" w:eastAsia="仿宋_GB2312"/>
          <w:bCs/>
          <w:kern w:val="0"/>
          <w:sz w:val="32"/>
          <w:szCs w:val="32"/>
        </w:rPr>
        <w:t xml:space="preserve">  鼓励、支持社会公众参加平安建设志愿服务组织，开展社情民意调查、矛盾纠纷化解、社会治安巡逻、平安法治宣传、应急处置支援和文明行为引导等工作。</w:t>
      </w:r>
    </w:p>
    <w:p>
      <w:pPr>
        <w:pStyle w:val="Normal"/>
        <w:ind w:firstLineChars="200" w:startChars="0" w:start="0" w:endChars="0" w:end="0"/>
        <w:rPr>
          <w:rFonts w:ascii="宋体;SimSun" w:hAnsi="宋体;SimSun" w:eastAsia="仿宋_GB2312" w:cs="仿宋_GB2312" w:hint="eastAsia"/>
          <w:bCs/>
          <w:kern w:val="0"/>
          <w:sz w:val="32"/>
          <w:szCs w:val="32"/>
        </w:rPr>
      </w:pPr>
      <w:r>
        <w:rPr>
          <w:rFonts w:ascii="宋体;SimSun" w:hAnsi="宋体;SimSun" w:cs="仿宋_GB2312" w:hint="eastAsia" w:eastAsia="仿宋_GB2312"/>
          <w:bCs/>
          <w:kern w:val="0"/>
          <w:sz w:val="32"/>
          <w:szCs w:val="32"/>
        </w:rPr>
        <w:t>公安、民政、人社、卫生健康、退役军人事务等相关主管部门应当依法采取相关措施保障平安建设参与者和见义勇为人员的合法权益。</w:t>
      </w:r>
    </w:p>
    <w:p>
      <w:pPr>
        <w:pStyle w:val="Normal"/>
        <w:ind w:firstLineChars="200" w:startChars="0" w:start="0" w:endChars="0" w:end="0"/>
        <w:rPr>
          <w:rFonts w:ascii="宋体;SimSun" w:hAnsi="宋体;SimSun" w:eastAsia="仿宋_GB2312" w:cs="仿宋_GB2312" w:hint="eastAsia"/>
          <w:bCs/>
          <w:kern w:val="0"/>
          <w:sz w:val="32"/>
          <w:szCs w:val="32"/>
        </w:rPr>
      </w:pPr>
      <w:r>
        <w:rPr>
          <w:rFonts w:eastAsia="仿宋_GB2312" w:cs="仿宋_GB2312" w:hint="eastAsia" w:ascii="宋体;SimSun" w:hAnsi="宋体;SimSun"/>
          <w:bCs/>
          <w:kern w:val="0"/>
          <w:sz w:val="32"/>
          <w:szCs w:val="32"/>
        </w:rPr>
      </w:r>
    </w:p>
    <w:p>
      <w:pPr>
        <w:pStyle w:val="Normal"/>
        <w:jc w:val="center"/>
        <w:rPr>
          <w:rFonts w:ascii="宋体;SimSun" w:hAnsi="宋体;SimSun" w:eastAsia="黑体;SimHei" w:cs="宋体;SimSun" w:hint="eastAsia"/>
          <w:sz w:val="32"/>
          <w:szCs w:val="32"/>
        </w:rPr>
      </w:pPr>
      <w:r>
        <w:rPr>
          <w:rFonts w:ascii="宋体;SimSun" w:hAnsi="宋体;SimSun" w:cs="宋体;SimSun" w:hint="eastAsia" w:eastAsia="黑体;SimHei"/>
          <w:sz w:val="32"/>
          <w:szCs w:val="32"/>
        </w:rPr>
        <w:t>第六章  保障与监督</w:t>
      </w:r>
    </w:p>
    <w:p>
      <w:pPr>
        <w:pStyle w:val="Normal"/>
        <w:rPr>
          <w:rFonts w:ascii="宋体;SimSun" w:hAnsi="宋体;SimSun" w:eastAsia="仿宋_GB2312" w:cs="仿宋_GB2312" w:hint="eastAsia"/>
          <w:bCs/>
          <w:kern w:val="0"/>
          <w:sz w:val="32"/>
          <w:szCs w:val="32"/>
        </w:rPr>
      </w:pPr>
      <w:r>
        <w:rPr>
          <w:rFonts w:eastAsia="仿宋_GB2312" w:cs="仿宋_GB2312" w:hint="eastAsia" w:ascii="宋体;SimSun" w:hAnsi="宋体;SimSun"/>
          <w:bCs/>
          <w:kern w:val="0"/>
          <w:sz w:val="32"/>
          <w:szCs w:val="32"/>
        </w:rPr>
      </w:r>
    </w:p>
    <w:p>
      <w:pPr>
        <w:pStyle w:val="Normal"/>
        <w:ind w:firstLineChars="200" w:startChars="0" w:start="0" w:endChars="0" w:end="0"/>
        <w:rPr/>
      </w:pPr>
      <w:r>
        <w:rPr>
          <w:rFonts w:ascii="宋体;SimSun" w:hAnsi="宋体;SimSun" w:cs="黑体;SimHei" w:hint="eastAsia" w:eastAsia="黑体;SimHei"/>
          <w:bCs/>
          <w:kern w:val="0"/>
          <w:sz w:val="32"/>
          <w:szCs w:val="32"/>
        </w:rPr>
        <w:t>第四十条</w:t>
      </w:r>
      <w:r>
        <w:rPr>
          <w:rFonts w:ascii="宋体;SimSun" w:hAnsi="宋体;SimSun" w:cs="仿宋_GB2312" w:hint="eastAsia" w:eastAsia="仿宋_GB2312"/>
          <w:bCs/>
          <w:kern w:val="0"/>
          <w:sz w:val="32"/>
          <w:szCs w:val="32"/>
        </w:rPr>
        <w:t xml:space="preserve">  建立市、县（市、区）、乡镇（街道）、村（社区）四级社会综合治理体系，推进网格多元共治信息化平台建设，统一网格数据采集系统，开展在线政务服务、在线监管、网格事项在线流转处置，及时回应、解决公民诉求。</w:t>
      </w:r>
    </w:p>
    <w:p>
      <w:pPr>
        <w:pStyle w:val="Normal"/>
        <w:ind w:firstLineChars="200" w:startChars="0" w:start="0" w:endChars="0" w:end="0"/>
        <w:rPr/>
      </w:pPr>
      <w:r>
        <w:rPr>
          <w:rFonts w:ascii="宋体;SimSun" w:hAnsi="宋体;SimSun" w:cs="黑体;SimHei" w:hint="eastAsia" w:eastAsia="黑体;SimHei"/>
          <w:bCs/>
          <w:kern w:val="0"/>
          <w:sz w:val="32"/>
          <w:szCs w:val="32"/>
        </w:rPr>
        <w:t>第四十一条</w:t>
      </w:r>
      <w:r>
        <w:rPr>
          <w:rFonts w:ascii="宋体;SimSun" w:hAnsi="宋体;SimSun" w:cs="仿宋_GB2312" w:hint="eastAsia" w:eastAsia="仿宋_GB2312"/>
          <w:bCs/>
          <w:kern w:val="0"/>
          <w:sz w:val="32"/>
          <w:szCs w:val="32"/>
        </w:rPr>
        <w:t xml:space="preserve">  市数据资源主管部门应当会同相关主管部门加强市数据资源管理平台的建设和综合应用，为社会治安防控、矛盾纠纷化解、公共安全管理、突发事件处置、重点风险排查等平安建设活动提供数据支持。</w:t>
      </w:r>
    </w:p>
    <w:p>
      <w:pPr>
        <w:pStyle w:val="Normal"/>
        <w:ind w:firstLineChars="200" w:startChars="0" w:start="0" w:endChars="0" w:end="0"/>
        <w:rPr>
          <w:rFonts w:ascii="宋体;SimSun" w:hAnsi="宋体;SimSun" w:eastAsia="仿宋_GB2312" w:cs="仿宋_GB2312" w:hint="eastAsia"/>
          <w:bCs/>
          <w:kern w:val="0"/>
          <w:sz w:val="32"/>
          <w:szCs w:val="32"/>
        </w:rPr>
      </w:pPr>
      <w:r>
        <w:rPr>
          <w:rFonts w:ascii="宋体;SimSun" w:hAnsi="宋体;SimSun" w:cs="仿宋_GB2312" w:hint="eastAsia" w:eastAsia="仿宋_GB2312"/>
          <w:bCs/>
          <w:kern w:val="0"/>
          <w:sz w:val="32"/>
          <w:szCs w:val="32"/>
        </w:rPr>
        <w:t>平安建设工作有关的业务信息、数据资料应当接入市数据资源管理平台。</w:t>
      </w:r>
    </w:p>
    <w:p>
      <w:pPr>
        <w:pStyle w:val="Normal"/>
        <w:ind w:firstLineChars="200" w:startChars="0" w:start="0" w:endChars="0" w:end="0"/>
        <w:rPr>
          <w:rFonts w:ascii="宋体;SimSun" w:hAnsi="宋体;SimSun" w:eastAsia="仿宋_GB2312" w:cs="仿宋_GB2312" w:hint="eastAsia"/>
          <w:bCs/>
          <w:kern w:val="0"/>
          <w:sz w:val="32"/>
          <w:szCs w:val="32"/>
        </w:rPr>
      </w:pPr>
      <w:r>
        <w:rPr>
          <w:rFonts w:ascii="宋体;SimSun" w:hAnsi="宋体;SimSun" w:cs="仿宋_GB2312" w:hint="eastAsia" w:eastAsia="仿宋_GB2312"/>
          <w:bCs/>
          <w:kern w:val="0"/>
          <w:sz w:val="32"/>
          <w:szCs w:val="32"/>
        </w:rPr>
        <w:t>相关主管部门收集、使用平安建设相关数据时，应当严格依法保护个人隐私和商业秘密，保障数据、网络信息安全以及服务管理对象的个人信息安全。</w:t>
      </w:r>
    </w:p>
    <w:p>
      <w:pPr>
        <w:pStyle w:val="Normal"/>
        <w:ind w:firstLineChars="200" w:startChars="0" w:start="0" w:endChars="0" w:end="0"/>
        <w:rPr/>
      </w:pPr>
      <w:r>
        <w:rPr>
          <w:rFonts w:ascii="宋体;SimSun" w:hAnsi="宋体;SimSun" w:cs="黑体;SimHei" w:hint="eastAsia" w:eastAsia="黑体;SimHei"/>
          <w:bCs/>
          <w:kern w:val="0"/>
          <w:sz w:val="32"/>
          <w:szCs w:val="32"/>
        </w:rPr>
        <w:t>第四十二条</w:t>
      </w:r>
      <w:r>
        <w:rPr>
          <w:rFonts w:ascii="宋体;SimSun" w:hAnsi="宋体;SimSun" w:cs="仿宋_GB2312" w:hint="eastAsia" w:eastAsia="仿宋_GB2312"/>
          <w:bCs/>
          <w:kern w:val="0"/>
          <w:sz w:val="32"/>
          <w:szCs w:val="32"/>
        </w:rPr>
        <w:t xml:space="preserve">  相关单位应当按照市人民政府规定，推进公共安全视频监控建设联网应用，提升风险预防水平。</w:t>
      </w:r>
    </w:p>
    <w:p>
      <w:pPr>
        <w:pStyle w:val="Normal"/>
        <w:ind w:firstLineChars="200" w:startChars="0" w:start="0" w:endChars="0" w:end="0"/>
        <w:rPr/>
      </w:pPr>
      <w:r>
        <w:rPr>
          <w:rFonts w:ascii="宋体;SimSun" w:hAnsi="宋体;SimSun" w:cs="黑体;SimHei" w:hint="eastAsia" w:eastAsia="黑体;SimHei"/>
          <w:bCs/>
          <w:kern w:val="0"/>
          <w:sz w:val="32"/>
          <w:szCs w:val="32"/>
        </w:rPr>
        <w:t>第四十三条</w:t>
      </w:r>
      <w:r>
        <w:rPr>
          <w:rFonts w:ascii="宋体;SimSun" w:hAnsi="宋体;SimSun" w:cs="仿宋_GB2312" w:hint="eastAsia" w:eastAsia="仿宋_GB2312"/>
          <w:bCs/>
          <w:kern w:val="0"/>
          <w:sz w:val="32"/>
          <w:szCs w:val="32"/>
        </w:rPr>
        <w:t xml:space="preserve">  市、县（市、区）人民政府、乡（镇）人民政府、街道办事处应当建立健全应急处置联动机制，建设应急指挥和突发事件应急指挥系统，完善各类突发事件的应急预案，定期开展应急处置演练。</w:t>
      </w:r>
    </w:p>
    <w:p>
      <w:pPr>
        <w:pStyle w:val="Normal"/>
        <w:ind w:firstLineChars="200" w:startChars="0" w:start="0" w:endChars="0" w:end="0"/>
        <w:rPr/>
      </w:pPr>
      <w:r>
        <w:rPr>
          <w:rFonts w:ascii="宋体;SimSun" w:hAnsi="宋体;SimSun" w:cs="黑体;SimHei" w:hint="eastAsia" w:eastAsia="黑体;SimHei"/>
          <w:bCs/>
          <w:kern w:val="0"/>
          <w:sz w:val="32"/>
          <w:szCs w:val="32"/>
        </w:rPr>
        <w:t>第四十四条</w:t>
      </w:r>
      <w:r>
        <w:rPr>
          <w:rFonts w:ascii="宋体;SimSun" w:hAnsi="宋体;SimSun" w:cs="仿宋_GB2312" w:hint="eastAsia" w:eastAsia="仿宋_GB2312"/>
          <w:bCs/>
          <w:kern w:val="0"/>
          <w:sz w:val="32"/>
          <w:szCs w:val="32"/>
        </w:rPr>
        <w:t xml:space="preserve">  新闻媒体、政府门户网站等公共媒体应当通过生动有效的形式，宣传平安建设成就，普及平安建设知识和宣传典型案例，营造全社会支持和参与平安建设活动的良好氛围。</w:t>
      </w:r>
    </w:p>
    <w:p>
      <w:pPr>
        <w:pStyle w:val="Normal"/>
        <w:ind w:firstLineChars="200" w:startChars="0" w:start="0" w:endChars="0" w:end="0"/>
        <w:rPr>
          <w:rFonts w:ascii="宋体;SimSun" w:hAnsi="宋体;SimSun" w:eastAsia="仿宋_GB2312" w:cs="仿宋_GB2312" w:hint="eastAsia"/>
          <w:bCs/>
          <w:kern w:val="0"/>
          <w:sz w:val="32"/>
          <w:szCs w:val="32"/>
        </w:rPr>
      </w:pPr>
      <w:r>
        <w:rPr>
          <w:rFonts w:ascii="宋体;SimSun" w:hAnsi="宋体;SimSun" w:cs="仿宋_GB2312" w:hint="eastAsia" w:eastAsia="仿宋_GB2312"/>
          <w:bCs/>
          <w:kern w:val="0"/>
          <w:sz w:val="32"/>
          <w:szCs w:val="32"/>
        </w:rPr>
        <w:t>车站、商场、公园、景区等公共场所和城市公交等公共交通工具，应当利用自身广告设施、广告介质开展平安建设公益宣传，营造和谐安宁的社会氛围。</w:t>
      </w:r>
    </w:p>
    <w:p>
      <w:pPr>
        <w:pStyle w:val="Normal"/>
        <w:ind w:firstLineChars="200" w:startChars="0" w:start="0" w:endChars="0" w:end="0"/>
        <w:rPr>
          <w:rFonts w:ascii="宋体;SimSun" w:hAnsi="宋体;SimSun" w:eastAsia="仿宋_GB2312" w:cs="仿宋_GB2312" w:hint="eastAsia"/>
          <w:bCs/>
          <w:kern w:val="0"/>
          <w:sz w:val="32"/>
          <w:szCs w:val="32"/>
        </w:rPr>
      </w:pPr>
      <w:r>
        <w:rPr>
          <w:rFonts w:ascii="宋体;SimSun" w:hAnsi="宋体;SimSun" w:cs="仿宋_GB2312" w:hint="eastAsia" w:eastAsia="仿宋_GB2312"/>
          <w:bCs/>
          <w:kern w:val="0"/>
          <w:sz w:val="32"/>
          <w:szCs w:val="32"/>
        </w:rPr>
        <w:t>鼓励、支持、引导国家机关、企事业单位和其他组织在本单位通过设置平安建设宣传栏、荣誉墙、提示牌等方式参与平安建设宣传。</w:t>
      </w:r>
    </w:p>
    <w:p>
      <w:pPr>
        <w:pStyle w:val="Normal"/>
        <w:ind w:firstLineChars="200" w:startChars="0" w:start="0" w:endChars="0" w:end="0"/>
        <w:rPr/>
      </w:pPr>
      <w:r>
        <w:rPr>
          <w:rFonts w:ascii="宋体;SimSun" w:hAnsi="宋体;SimSun" w:cs="黑体;SimHei" w:hint="eastAsia" w:eastAsia="黑体;SimHei"/>
          <w:bCs/>
          <w:kern w:val="0"/>
          <w:sz w:val="32"/>
          <w:szCs w:val="32"/>
        </w:rPr>
        <w:t>第四十五条</w:t>
      </w:r>
      <w:r>
        <w:rPr>
          <w:rFonts w:ascii="宋体;SimSun" w:hAnsi="宋体;SimSun" w:cs="仿宋_GB2312" w:hint="eastAsia" w:eastAsia="仿宋_GB2312"/>
          <w:bCs/>
          <w:kern w:val="0"/>
          <w:sz w:val="32"/>
          <w:szCs w:val="32"/>
        </w:rPr>
        <w:t xml:space="preserve">  市、县（市、区）平安建设领导小组应当建立健全平安建设领导责任制和平安建设责任体系。</w:t>
      </w:r>
    </w:p>
    <w:p>
      <w:pPr>
        <w:pStyle w:val="Normal"/>
        <w:ind w:firstLineChars="200" w:startChars="0" w:start="0" w:endChars="0" w:end="0"/>
        <w:rPr>
          <w:rFonts w:ascii="宋体;SimSun" w:hAnsi="宋体;SimSun" w:eastAsia="仿宋_GB2312" w:cs="仿宋_GB2312" w:hint="eastAsia"/>
          <w:bCs/>
          <w:kern w:val="0"/>
          <w:sz w:val="32"/>
          <w:szCs w:val="32"/>
        </w:rPr>
      </w:pPr>
      <w:r>
        <w:rPr>
          <w:rFonts w:ascii="宋体;SimSun" w:hAnsi="宋体;SimSun" w:cs="仿宋_GB2312" w:hint="eastAsia" w:eastAsia="仿宋_GB2312"/>
          <w:bCs/>
          <w:kern w:val="0"/>
          <w:sz w:val="32"/>
          <w:szCs w:val="32"/>
        </w:rPr>
        <w:t>建立健全平安建设工作考核评价制度，制定完善考核评价标准和体系，明确考核评价的内容、方法、程序。</w:t>
      </w:r>
    </w:p>
    <w:p>
      <w:pPr>
        <w:pStyle w:val="Normal"/>
        <w:ind w:firstLineChars="200" w:startChars="0" w:start="0" w:endChars="0" w:end="0"/>
        <w:rPr/>
      </w:pPr>
      <w:r>
        <w:rPr>
          <w:rFonts w:ascii="宋体;SimSun" w:hAnsi="宋体;SimSun" w:cs="黑体;SimHei" w:hint="eastAsia" w:eastAsia="黑体;SimHei"/>
          <w:bCs/>
          <w:kern w:val="0"/>
          <w:sz w:val="32"/>
          <w:szCs w:val="32"/>
        </w:rPr>
        <w:t>第四十六条</w:t>
      </w:r>
      <w:r>
        <w:rPr>
          <w:rFonts w:ascii="宋体;SimSun" w:hAnsi="宋体;SimSun" w:cs="仿宋_GB2312" w:hint="eastAsia" w:eastAsia="仿宋_GB2312"/>
          <w:bCs/>
          <w:kern w:val="0"/>
          <w:sz w:val="32"/>
          <w:szCs w:val="32"/>
        </w:rPr>
        <w:t xml:space="preserve">  市、县（市、区）平安建设领导小组应当建立健全平安建设奖励制度，对在平安建设中表现突出的集体和个人按照有关规定予以奖励。</w:t>
      </w:r>
    </w:p>
    <w:p>
      <w:pPr>
        <w:pStyle w:val="Normal"/>
        <w:ind w:firstLineChars="200" w:startChars="0" w:start="0" w:endChars="0" w:end="0"/>
        <w:rPr>
          <w:rFonts w:ascii="宋体;SimSun" w:hAnsi="宋体;SimSun" w:eastAsia="仿宋_GB2312" w:cs="仿宋_GB2312" w:hint="eastAsia"/>
          <w:bCs/>
          <w:kern w:val="0"/>
          <w:sz w:val="32"/>
          <w:szCs w:val="32"/>
        </w:rPr>
      </w:pPr>
      <w:r>
        <w:rPr>
          <w:rFonts w:ascii="宋体;SimSun" w:hAnsi="宋体;SimSun" w:cs="仿宋_GB2312" w:hint="eastAsia" w:eastAsia="仿宋_GB2312"/>
          <w:bCs/>
          <w:kern w:val="0"/>
          <w:sz w:val="32"/>
          <w:szCs w:val="32"/>
        </w:rPr>
        <w:t>鼓励国家机关、基层自治组织、企事业单位、社会团体和其他组织，对本单位在平安建设工作中作出贡献的人员和平安建设先进人物进行表扬和奖励。</w:t>
      </w:r>
    </w:p>
    <w:p>
      <w:pPr>
        <w:pStyle w:val="Normal"/>
        <w:ind w:firstLineChars="200" w:startChars="0" w:start="0" w:endChars="0" w:end="0"/>
        <w:rPr/>
      </w:pPr>
      <w:r>
        <w:rPr>
          <w:rFonts w:ascii="宋体;SimSun" w:hAnsi="宋体;SimSun" w:cs="黑体;SimHei" w:hint="eastAsia" w:eastAsia="黑体;SimHei"/>
          <w:bCs/>
          <w:kern w:val="0"/>
          <w:sz w:val="32"/>
          <w:szCs w:val="32"/>
        </w:rPr>
        <w:t>第四十七条</w:t>
      </w:r>
      <w:r>
        <w:rPr>
          <w:rFonts w:ascii="宋体;SimSun" w:hAnsi="宋体;SimSun" w:cs="仿宋_GB2312" w:hint="eastAsia" w:eastAsia="仿宋_GB2312"/>
          <w:bCs/>
          <w:kern w:val="0"/>
          <w:sz w:val="32"/>
          <w:szCs w:val="32"/>
        </w:rPr>
        <w:t xml:space="preserve">  市、县（市、区）平安建设领导小组根据平安建设工作的需要，可以制定平安建设指数发布制度和平安建设积分制度，公民参加平安志愿服务或者上报各类安全隐患情况线索的记录，作为奖励依据。</w:t>
      </w:r>
    </w:p>
    <w:p>
      <w:pPr>
        <w:pStyle w:val="Normal"/>
        <w:ind w:firstLineChars="200" w:startChars="0" w:start="0" w:endChars="0" w:end="0"/>
        <w:rPr/>
      </w:pPr>
      <w:r>
        <w:rPr>
          <w:rFonts w:ascii="宋体;SimSun" w:hAnsi="宋体;SimSun" w:cs="黑体;SimHei" w:hint="eastAsia" w:eastAsia="黑体;SimHei"/>
          <w:bCs/>
          <w:kern w:val="0"/>
          <w:sz w:val="32"/>
          <w:szCs w:val="32"/>
        </w:rPr>
        <w:t>第四十八条</w:t>
      </w:r>
      <w:r>
        <w:rPr>
          <w:rFonts w:ascii="宋体;SimSun" w:hAnsi="宋体;SimSun" w:cs="仿宋_GB2312" w:hint="eastAsia" w:eastAsia="仿宋_GB2312"/>
          <w:bCs/>
          <w:kern w:val="0"/>
          <w:sz w:val="32"/>
          <w:szCs w:val="32"/>
        </w:rPr>
        <w:t xml:space="preserve">  有关单位未依法履行平安建设责任，有下列情形之一的，市、县（市、区）平安建设组织协调机构根据情节轻重，分别采取通报、约谈、督办等形式进行督导，督促其限期整改。</w:t>
      </w:r>
    </w:p>
    <w:p>
      <w:pPr>
        <w:pStyle w:val="Normal"/>
        <w:ind w:firstLineChars="200" w:startChars="0" w:start="0" w:endChars="0" w:end="0"/>
        <w:rPr>
          <w:rFonts w:ascii="宋体;SimSun" w:hAnsi="宋体;SimSun" w:eastAsia="仿宋_GB2312" w:cs="仿宋_GB2312" w:hint="eastAsia"/>
          <w:bCs/>
          <w:kern w:val="0"/>
          <w:sz w:val="32"/>
          <w:szCs w:val="32"/>
        </w:rPr>
      </w:pPr>
      <w:r>
        <w:rPr>
          <w:rFonts w:ascii="宋体;SimSun" w:hAnsi="宋体;SimSun" w:cs="仿宋_GB2312" w:hint="eastAsia" w:eastAsia="仿宋_GB2312"/>
          <w:bCs/>
          <w:kern w:val="0"/>
          <w:sz w:val="32"/>
          <w:szCs w:val="32"/>
        </w:rPr>
        <w:t>（一）不重视平安建设，相关工作措施落实不力，本地区本系统本单位基层基础工作薄弱，治安秩序严重混乱或者社会矛盾突出的；</w:t>
      </w:r>
    </w:p>
    <w:p>
      <w:pPr>
        <w:pStyle w:val="Normal"/>
        <w:ind w:firstLineChars="200" w:startChars="0" w:start="0" w:endChars="0" w:end="0"/>
        <w:rPr>
          <w:rFonts w:ascii="宋体;SimSun" w:hAnsi="宋体;SimSun" w:eastAsia="仿宋_GB2312" w:cs="仿宋_GB2312" w:hint="eastAsia"/>
          <w:bCs/>
          <w:kern w:val="0"/>
          <w:sz w:val="32"/>
          <w:szCs w:val="32"/>
        </w:rPr>
      </w:pPr>
      <w:r>
        <w:rPr>
          <w:rFonts w:ascii="宋体;SimSun" w:hAnsi="宋体;SimSun" w:cs="仿宋_GB2312" w:hint="eastAsia" w:eastAsia="仿宋_GB2312"/>
          <w:bCs/>
          <w:kern w:val="0"/>
          <w:sz w:val="32"/>
          <w:szCs w:val="32"/>
        </w:rPr>
        <w:t>（二）本地区本系统本单位在较短时间内连续发生重大刑事案件、群体性事件、公共安全事件的；</w:t>
      </w:r>
    </w:p>
    <w:p>
      <w:pPr>
        <w:pStyle w:val="Normal"/>
        <w:ind w:firstLineChars="200" w:startChars="0" w:start="0" w:endChars="0" w:end="0"/>
        <w:rPr>
          <w:rFonts w:ascii="宋体;SimSun" w:hAnsi="宋体;SimSun" w:eastAsia="仿宋_GB2312" w:cs="仿宋_GB2312" w:hint="eastAsia"/>
          <w:bCs/>
          <w:kern w:val="0"/>
          <w:sz w:val="32"/>
          <w:szCs w:val="32"/>
        </w:rPr>
      </w:pPr>
      <w:r>
        <w:rPr>
          <w:rFonts w:ascii="宋体;SimSun" w:hAnsi="宋体;SimSun" w:cs="仿宋_GB2312" w:hint="eastAsia" w:eastAsia="仿宋_GB2312"/>
          <w:bCs/>
          <w:kern w:val="0"/>
          <w:sz w:val="32"/>
          <w:szCs w:val="32"/>
        </w:rPr>
        <w:t>（三）本地区本系统本单位发生特别重大刑事案件、群体性事件、公共安全事件的；</w:t>
      </w:r>
    </w:p>
    <w:p>
      <w:pPr>
        <w:pStyle w:val="Normal"/>
        <w:ind w:firstLineChars="200" w:startChars="0" w:start="0" w:endChars="0" w:end="0"/>
        <w:rPr>
          <w:rFonts w:ascii="宋体;SimSun" w:hAnsi="宋体;SimSun" w:eastAsia="仿宋_GB2312" w:cs="仿宋_GB2312" w:hint="eastAsia"/>
          <w:bCs/>
          <w:kern w:val="0"/>
          <w:sz w:val="32"/>
          <w:szCs w:val="32"/>
        </w:rPr>
      </w:pPr>
      <w:r>
        <w:rPr>
          <w:rFonts w:ascii="宋体;SimSun" w:hAnsi="宋体;SimSun" w:cs="仿宋_GB2312" w:hint="eastAsia" w:eastAsia="仿宋_GB2312"/>
          <w:bCs/>
          <w:kern w:val="0"/>
          <w:sz w:val="32"/>
          <w:szCs w:val="32"/>
        </w:rPr>
        <w:t>（四）本地区本单位平安建设工作考核评价不合格、不达标的；</w:t>
      </w:r>
    </w:p>
    <w:p>
      <w:pPr>
        <w:pStyle w:val="Normal"/>
        <w:ind w:firstLineChars="200" w:startChars="0" w:start="0" w:endChars="0" w:end="0"/>
        <w:rPr>
          <w:rFonts w:ascii="宋体;SimSun" w:hAnsi="宋体;SimSun" w:eastAsia="仿宋_GB2312" w:cs="仿宋_GB2312" w:hint="eastAsia"/>
          <w:bCs/>
          <w:kern w:val="0"/>
          <w:sz w:val="32"/>
          <w:szCs w:val="32"/>
        </w:rPr>
      </w:pPr>
      <w:r>
        <w:rPr>
          <w:rFonts w:ascii="宋体;SimSun" w:hAnsi="宋体;SimSun" w:cs="仿宋_GB2312" w:hint="eastAsia" w:eastAsia="仿宋_GB2312"/>
          <w:bCs/>
          <w:kern w:val="0"/>
          <w:sz w:val="32"/>
          <w:szCs w:val="32"/>
        </w:rPr>
        <w:t>（五）对群众反映强烈的社会治安重点地区和突出公共安全、治安问题等，没有采取有效措施或者出现反弹的；</w:t>
      </w:r>
    </w:p>
    <w:p>
      <w:pPr>
        <w:pStyle w:val="Normal"/>
        <w:ind w:firstLineChars="200" w:startChars="0" w:start="0" w:endChars="0" w:end="0"/>
        <w:rPr>
          <w:rFonts w:ascii="宋体;SimSun" w:hAnsi="宋体;SimSun" w:eastAsia="仿宋_GB2312" w:cs="仿宋_GB2312" w:hint="eastAsia"/>
          <w:bCs/>
          <w:kern w:val="0"/>
          <w:sz w:val="32"/>
          <w:szCs w:val="32"/>
        </w:rPr>
      </w:pPr>
      <w:r>
        <w:rPr>
          <w:rFonts w:ascii="宋体;SimSun" w:hAnsi="宋体;SimSun" w:cs="仿宋_GB2312" w:hint="eastAsia" w:eastAsia="仿宋_GB2312"/>
          <w:bCs/>
          <w:kern w:val="0"/>
          <w:sz w:val="32"/>
          <w:szCs w:val="32"/>
        </w:rPr>
        <w:t>（六）其他需要督促整改的情形。</w:t>
      </w:r>
    </w:p>
    <w:p>
      <w:pPr>
        <w:pStyle w:val="Normal"/>
        <w:ind w:firstLineChars="200" w:startChars="0" w:start="0" w:endChars="0" w:end="0"/>
        <w:rPr/>
      </w:pPr>
      <w:r>
        <w:rPr>
          <w:rFonts w:ascii="宋体;SimSun" w:hAnsi="宋体;SimSun" w:cs="黑体;SimHei" w:hint="eastAsia" w:eastAsia="黑体;SimHei"/>
          <w:bCs/>
          <w:kern w:val="0"/>
          <w:sz w:val="32"/>
          <w:szCs w:val="32"/>
        </w:rPr>
        <w:t>第四十九条</w:t>
      </w:r>
      <w:r>
        <w:rPr>
          <w:rFonts w:ascii="宋体;SimSun" w:hAnsi="宋体;SimSun" w:cs="仿宋_GB2312" w:hint="eastAsia" w:eastAsia="仿宋_GB2312"/>
          <w:bCs/>
          <w:kern w:val="0"/>
          <w:sz w:val="32"/>
          <w:szCs w:val="32"/>
        </w:rPr>
        <w:t xml:space="preserve">  有关单位及工作人员不履行平安建设职责的，或者在平安建设工作中玩忽职守、滥用职权、徇私舞弊的，由相关机关对直接负责的主管人员和其他直接责任人员依法给予处分。</w:t>
      </w:r>
    </w:p>
    <w:p>
      <w:pPr>
        <w:pStyle w:val="Normal"/>
        <w:ind w:firstLineChars="200" w:startChars="0" w:start="0" w:endChars="0" w:end="0"/>
        <w:rPr>
          <w:rFonts w:ascii="宋体;SimSun" w:hAnsi="宋体;SimSun" w:eastAsia="仿宋_GB2312" w:cs="仿宋_GB2312" w:hint="eastAsia"/>
          <w:bCs/>
          <w:kern w:val="0"/>
          <w:sz w:val="32"/>
          <w:szCs w:val="32"/>
        </w:rPr>
      </w:pPr>
      <w:r>
        <w:rPr>
          <w:rFonts w:eastAsia="仿宋_GB2312" w:cs="仿宋_GB2312" w:hint="eastAsia" w:ascii="宋体;SimSun" w:hAnsi="宋体;SimSun"/>
          <w:bCs/>
          <w:kern w:val="0"/>
          <w:sz w:val="32"/>
          <w:szCs w:val="32"/>
        </w:rPr>
      </w:r>
    </w:p>
    <w:p>
      <w:pPr>
        <w:pStyle w:val="Normal"/>
        <w:jc w:val="center"/>
        <w:rPr>
          <w:rFonts w:ascii="宋体;SimSun" w:hAnsi="宋体;SimSun" w:eastAsia="黑体;SimHei" w:cs="宋体;SimSun" w:hint="eastAsia"/>
          <w:sz w:val="32"/>
          <w:szCs w:val="32"/>
        </w:rPr>
      </w:pPr>
      <w:r>
        <w:rPr>
          <w:rFonts w:ascii="宋体;SimSun" w:hAnsi="宋体;SimSun" w:cs="宋体;SimSun" w:hint="eastAsia" w:eastAsia="黑体;SimHei"/>
          <w:sz w:val="32"/>
          <w:szCs w:val="32"/>
        </w:rPr>
        <w:t>第七章  附 则</w:t>
      </w:r>
    </w:p>
    <w:p>
      <w:pPr>
        <w:pStyle w:val="Normal"/>
        <w:jc w:val="center"/>
        <w:rPr>
          <w:rFonts w:ascii="宋体;SimSun" w:hAnsi="宋体;SimSun" w:eastAsia="仿宋_GB2312" w:cs="仿宋_GB2312" w:hint="eastAsia"/>
          <w:bCs/>
          <w:kern w:val="0"/>
          <w:sz w:val="32"/>
          <w:szCs w:val="32"/>
        </w:rPr>
      </w:pPr>
      <w:r>
        <w:rPr>
          <w:rFonts w:eastAsia="仿宋_GB2312" w:cs="仿宋_GB2312" w:hint="eastAsia" w:ascii="宋体;SimSun" w:hAnsi="宋体;SimSun"/>
          <w:bCs/>
          <w:kern w:val="0"/>
          <w:sz w:val="32"/>
          <w:szCs w:val="32"/>
        </w:rPr>
      </w:r>
    </w:p>
    <w:p>
      <w:pPr>
        <w:pStyle w:val="Normal"/>
        <w:ind w:firstLineChars="200" w:startChars="0" w:start="0" w:endChars="0" w:end="0"/>
        <w:rPr/>
      </w:pPr>
      <w:r>
        <w:rPr>
          <w:rFonts w:ascii="宋体;SimSun" w:hAnsi="宋体;SimSun" w:cs="黑体;SimHei" w:hint="eastAsia" w:eastAsia="黑体;SimHei"/>
          <w:bCs/>
          <w:kern w:val="0"/>
          <w:sz w:val="32"/>
          <w:szCs w:val="32"/>
        </w:rPr>
        <w:t>第五十条</w:t>
      </w:r>
      <w:r>
        <w:rPr>
          <w:rFonts w:ascii="宋体;SimSun" w:hAnsi="宋体;SimSun" w:cs="仿宋_GB2312" w:hint="eastAsia" w:eastAsia="仿宋_GB2312"/>
          <w:bCs/>
          <w:kern w:val="0"/>
          <w:sz w:val="32"/>
          <w:szCs w:val="32"/>
        </w:rPr>
        <w:t xml:space="preserve">  本条例自</w:t>
      </w:r>
      <w:r>
        <w:rPr>
          <w:rFonts w:eastAsia="仿宋_GB2312" w:cs="仿宋_GB2312" w:hint="eastAsia" w:ascii="宋体;SimSun" w:hAnsi="宋体;SimSun"/>
          <w:bCs/>
          <w:kern w:val="0"/>
          <w:sz w:val="32"/>
          <w:szCs w:val="32"/>
        </w:rPr>
        <w:t>2023</w:t>
      </w:r>
      <w:r>
        <w:rPr>
          <w:rFonts w:ascii="宋体;SimSun" w:hAnsi="宋体;SimSun" w:cs="仿宋_GB2312" w:hint="eastAsia" w:eastAsia="仿宋_GB2312"/>
          <w:bCs/>
          <w:kern w:val="0"/>
          <w:sz w:val="32"/>
          <w:szCs w:val="32"/>
        </w:rPr>
        <w:t>年</w:t>
      </w:r>
      <w:r>
        <w:rPr>
          <w:rFonts w:eastAsia="仿宋_GB2312" w:cs="仿宋_GB2312" w:hint="eastAsia" w:ascii="宋体;SimSun" w:hAnsi="宋体;SimSun"/>
          <w:bCs/>
          <w:kern w:val="0"/>
          <w:sz w:val="32"/>
          <w:szCs w:val="32"/>
        </w:rPr>
        <w:t>1</w:t>
      </w:r>
      <w:r>
        <w:rPr>
          <w:rFonts w:ascii="宋体;SimSun" w:hAnsi="宋体;SimSun" w:cs="仿宋_GB2312" w:hint="eastAsia" w:eastAsia="仿宋_GB2312"/>
          <w:bCs/>
          <w:kern w:val="0"/>
          <w:sz w:val="32"/>
          <w:szCs w:val="32"/>
        </w:rPr>
        <w:t>月</w:t>
      </w:r>
      <w:r>
        <w:rPr>
          <w:rFonts w:eastAsia="仿宋_GB2312" w:cs="仿宋_GB2312" w:hint="eastAsia" w:ascii="宋体;SimSun" w:hAnsi="宋体;SimSun"/>
          <w:bCs/>
          <w:kern w:val="0"/>
          <w:sz w:val="32"/>
          <w:szCs w:val="32"/>
        </w:rPr>
        <w:t>1</w:t>
      </w:r>
      <w:r>
        <w:rPr>
          <w:rFonts w:ascii="宋体;SimSun" w:hAnsi="宋体;SimSun" w:cs="仿宋_GB2312" w:hint="eastAsia" w:eastAsia="仿宋_GB2312"/>
          <w:bCs/>
          <w:kern w:val="0"/>
          <w:sz w:val="32"/>
          <w:szCs w:val="32"/>
        </w:rPr>
        <w:t>日起施行。</w:t>
      </w:r>
    </w:p>
    <w:sectPr>
      <w:footerReference w:type="even" r:id="rId4"/>
      <w:footerReference w:type="default" r:id="rId5"/>
      <w:type w:val="nextPage"/>
      <w:pgSz w:w="11906" w:h="16838"/>
      <w:pgMar w:left="1588" w:right="1474" w:gutter="0" w:header="0" w:top="2098" w:footer="397" w:bottom="1985"/>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14</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42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13</w:t>
    </w:r>
    <w:r>
      <w:rPr>
        <w:rFonts w:cs="宋体;SimSun" w:ascii="宋体;SimSun" w:hAnsi="宋体;SimSun"/>
        <w:sz w:val="28"/>
        <w:szCs w:val="28"/>
      </w:rPr>
      <w:fldChar w:fldCharType="end"/>
    </w:r>
  </w:p>
</w:ft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TOC2"/>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character" w:styleId="Char">
    <w:name w:val="页脚 Char"/>
    <w:basedOn w:val="Style14"/>
    <w:qFormat/>
    <w:rPr>
      <w:kern w:val="2"/>
      <w:sz w:val="18"/>
      <w:szCs w:val="18"/>
    </w:rPr>
  </w:style>
  <w:style w:type="character" w:styleId="Char1">
    <w:name w:val="页眉 Char"/>
    <w:basedOn w:val="Style14"/>
    <w:qFormat/>
    <w:rPr>
      <w:kern w:val="2"/>
      <w:sz w:val="18"/>
      <w:szCs w:val="18"/>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OC2">
    <w:name w:val="toc 2"/>
    <w:basedOn w:val="Normal"/>
    <w:next w:val="Normal"/>
    <w:pPr>
      <w:ind w:firstLineChars="0" w:firstLine="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100" w:after="100"/>
      <w:jc w:val="start"/>
    </w:pPr>
    <w:rPr>
      <w:rFonts w:ascii="宋体;SimSun" w:hAnsi="宋体;SimSun" w:eastAsia="宋体;SimSun" w:cs="宋体;SimSun"/>
      <w:kern w:val="0"/>
      <w:sz w:val="24"/>
      <w:szCs w:val="24"/>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110.com/fagui/" TargetMode="External"/><Relationship Id="rId3" Type="http://schemas.openxmlformats.org/officeDocument/2006/relationships/hyperlink" Target="http://www.110.com/fagui/"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2014-11-01T12:08:00Z</dcterms:created>
  <dc:creator>Administrator</dc:creator>
  <dc:description/>
  <cp:keywords/>
  <dc:language>en-US</dc:language>
  <cp:lastModifiedBy>HP</cp:lastModifiedBy>
  <cp:lastPrinted>2022-12-02T03:39:00Z</cp:lastPrinted>
  <dcterms:modified xsi:type="dcterms:W3CDTF">2023-01-03T11:24:00Z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