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jc w:val="center"/>
        <w:rPr>
          <w:rFonts w:ascii="宋体;SimSun" w:hAnsi="宋体;SimSun" w:cs="宋体;SimSun" w:hint="eastAsia"/>
          <w:b/>
          <w:bCs/>
          <w:sz w:val="32"/>
          <w:szCs w:val="32"/>
        </w:rPr>
      </w:pPr>
      <w:r>
        <w:rPr>
          <w:rFonts w:cs="宋体;SimSun" w:hint="eastAsia" w:ascii="宋体;SimSun" w:hAnsi="宋体;SimSun"/>
          <w:b/>
          <w:bCs/>
          <w:sz w:val="32"/>
          <w:szCs w:val="32"/>
        </w:rPr>
      </w:r>
    </w:p>
    <w:p>
      <w:pPr>
        <w:pStyle w:val="Normal"/>
        <w:spacing w:lineRule="exact" w:line="589"/>
        <w:jc w:val="center"/>
        <w:rPr>
          <w:rFonts w:ascii="宋体;SimSun" w:hAnsi="宋体;SimSun" w:cs="宋体;SimSun" w:hint="eastAsia"/>
          <w:b/>
          <w:bCs/>
          <w:sz w:val="32"/>
          <w:szCs w:val="32"/>
        </w:rPr>
      </w:pPr>
      <w:r>
        <w:rPr>
          <w:rFonts w:cs="宋体;SimSun" w:hint="eastAsia" w:ascii="宋体;SimSun" w:hAnsi="宋体;SimSun"/>
          <w:b/>
          <w:bCs/>
          <w:sz w:val="32"/>
          <w:szCs w:val="32"/>
        </w:rPr>
      </w:r>
    </w:p>
    <w:p>
      <w:pPr>
        <w:pStyle w:val="Normal"/>
        <w:spacing w:lineRule="exact" w:line="589"/>
        <w:jc w:val="center"/>
        <w:rPr>
          <w:rFonts w:ascii="宋体;SimSun" w:hAnsi="宋体;SimSun" w:cs="宋体;SimSun" w:hint="eastAsia"/>
          <w:b/>
          <w:bCs/>
          <w:sz w:val="44"/>
          <w:szCs w:val="44"/>
        </w:rPr>
      </w:pPr>
      <w:r>
        <w:rPr>
          <w:rFonts w:ascii="宋体;SimSun" w:hAnsi="宋体;SimSun" w:cs="宋体;SimSun" w:hint="eastAsia"/>
          <w:b/>
          <w:bCs/>
          <w:sz w:val="44"/>
          <w:szCs w:val="44"/>
        </w:rPr>
        <w:t>吉林省著名商标认定和保护条例</w:t>
      </w:r>
    </w:p>
    <w:p>
      <w:pPr>
        <w:pStyle w:val="Normal"/>
        <w:spacing w:lineRule="exact" w:line="589" w:before="312" w:after="0"/>
        <w:ind w:firstLineChars="0" w:firstLine="0" w:startChars="200" w:endChars="200"/>
        <w:rPr/>
      </w:pPr>
      <w:r>
        <w:rPr>
          <w:rFonts w:ascii="楷体_GB2312" w:hAnsi="楷体_GB2312" w:cs="楷体" w:hint="eastAsia" w:eastAsia="楷体_GB2312"/>
          <w:sz w:val="32"/>
          <w:szCs w:val="44"/>
        </w:rPr>
        <w:t>（</w:t>
      </w:r>
      <w:r>
        <w:rPr>
          <w:rFonts w:eastAsia="楷体_GB2312" w:cs="楷体" w:hint="eastAsia" w:ascii="楷体_GB2312" w:hAnsi="楷体_GB2312"/>
          <w:sz w:val="32"/>
          <w:szCs w:val="44"/>
        </w:rPr>
        <w:t>2007</w:t>
      </w:r>
      <w:r>
        <w:rPr>
          <w:rFonts w:ascii="楷体_GB2312" w:hAnsi="楷体_GB2312" w:cs="楷体" w:hint="eastAsia" w:eastAsia="楷体_GB2312"/>
          <w:sz w:val="32"/>
          <w:szCs w:val="44"/>
        </w:rPr>
        <w:t>年</w:t>
      </w:r>
      <w:r>
        <w:rPr>
          <w:rFonts w:eastAsia="楷体_GB2312" w:cs="楷体" w:hint="eastAsia" w:ascii="楷体_GB2312" w:hAnsi="楷体_GB2312"/>
          <w:sz w:val="32"/>
          <w:szCs w:val="44"/>
        </w:rPr>
        <w:t>9</w:t>
      </w:r>
      <w:r>
        <w:rPr>
          <w:rFonts w:ascii="楷体_GB2312" w:hAnsi="楷体_GB2312" w:cs="楷体" w:hint="eastAsia" w:eastAsia="楷体_GB2312"/>
          <w:sz w:val="32"/>
          <w:szCs w:val="44"/>
        </w:rPr>
        <w:t>月</w:t>
      </w:r>
      <w:r>
        <w:rPr>
          <w:rFonts w:eastAsia="楷体_GB2312" w:cs="楷体" w:hint="eastAsia" w:ascii="楷体_GB2312" w:hAnsi="楷体_GB2312"/>
          <w:sz w:val="32"/>
          <w:szCs w:val="44"/>
        </w:rPr>
        <w:t>28</w:t>
      </w:r>
      <w:r>
        <w:rPr>
          <w:rFonts w:ascii="楷体_GB2312" w:hAnsi="楷体_GB2312" w:cs="楷体" w:hint="eastAsia" w:eastAsia="楷体_GB2312"/>
          <w:sz w:val="32"/>
          <w:szCs w:val="44"/>
        </w:rPr>
        <w:t xml:space="preserve">日吉林省第十届人民代表大会常务委员会第三十七次会议通过  </w:t>
      </w:r>
      <w:r>
        <w:rPr>
          <w:rFonts w:ascii="楷体_GB2312" w:hAnsi="楷体_GB2312" w:cs="楷体_GB2312" w:hint="eastAsia" w:eastAsia="楷体_GB2312"/>
          <w:sz w:val="32"/>
          <w:szCs w:val="32"/>
        </w:rPr>
        <w:t>根据</w:t>
      </w:r>
      <w:r>
        <w:rPr>
          <w:rFonts w:eastAsia="楷体_GB2312" w:cs="楷体_GB2312" w:hint="eastAsia" w:ascii="楷体_GB2312" w:hAnsi="楷体_GB2312"/>
          <w:sz w:val="32"/>
          <w:szCs w:val="32"/>
        </w:rPr>
        <w:t>2017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w:t>
      </w:r>
      <w:r>
        <w:rPr>
          <w:rFonts w:ascii="楷体_GB2312" w:hAnsi="楷体_GB2312" w:cs="楷体_GB2312" w:hint="eastAsia" w:eastAsia="楷体_GB2312"/>
          <w:sz w:val="32"/>
          <w:szCs w:val="32"/>
        </w:rPr>
        <w:t>日吉林省第十二届人民代表大会常务委员会第三十五次会议《吉林省人民代表大会常务委员会关于修改</w:t>
      </w:r>
      <w:r>
        <w:rPr>
          <w:rFonts w:eastAsia="楷体_GB2312" w:cs="楷体_GB2312" w:hint="eastAsia" w:ascii="楷体_GB2312" w:hAnsi="楷体_GB2312"/>
          <w:sz w:val="32"/>
          <w:szCs w:val="32"/>
        </w:rPr>
        <w:t>&lt;</w:t>
      </w:r>
      <w:r>
        <w:rPr>
          <w:rFonts w:ascii="楷体_GB2312" w:hAnsi="楷体_GB2312" w:cs="楷体_GB2312" w:hint="eastAsia" w:eastAsia="楷体_GB2312"/>
          <w:sz w:val="32"/>
          <w:szCs w:val="32"/>
        </w:rPr>
        <w:t>吉林省著名商标认定和保护条例</w:t>
      </w:r>
      <w:r>
        <w:rPr>
          <w:rFonts w:eastAsia="楷体_GB2312" w:cs="楷体_GB2312" w:hint="eastAsia" w:ascii="楷体_GB2312" w:hAnsi="楷体_GB2312"/>
          <w:sz w:val="32"/>
          <w:szCs w:val="32"/>
        </w:rPr>
        <w:t>&gt;</w:t>
      </w:r>
      <w:r>
        <w:rPr>
          <w:rFonts w:ascii="楷体_GB2312" w:hAnsi="楷体_GB2312" w:cs="楷体_GB2312" w:hint="eastAsia" w:eastAsia="楷体_GB2312"/>
          <w:sz w:val="32"/>
          <w:szCs w:val="32"/>
        </w:rPr>
        <w:t>的决定》修改</w:t>
      </w:r>
      <w:r>
        <w:rPr>
          <w:rFonts w:ascii="楷体_GB2312" w:hAnsi="楷体_GB2312" w:cs="楷体" w:hint="eastAsia" w:eastAsia="楷体_GB2312"/>
          <w:b/>
          <w:bCs/>
          <w:sz w:val="32"/>
          <w:szCs w:val="44"/>
        </w:rPr>
        <w:t>）</w:t>
      </w:r>
    </w:p>
    <w:p>
      <w:pPr>
        <w:pStyle w:val="Normal"/>
        <w:spacing w:lineRule="exact" w:line="589"/>
        <w:ind w:firstLineChars="200" w:startChars="0" w:start="0" w:endChars="0" w:end="0"/>
        <w:rPr>
          <w:rFonts w:ascii="仿宋" w:hAnsi="仿宋" w:eastAsia="仿宋" w:cs="宋体;SimSun" w:hint="eastAsia"/>
          <w:b/>
          <w:bCs/>
          <w:color w:val="000000"/>
          <w:kern w:val="0"/>
          <w:sz w:val="32"/>
          <w:szCs w:val="30"/>
        </w:rPr>
      </w:pPr>
      <w:r>
        <w:rPr>
          <w:rFonts w:eastAsia="仿宋" w:cs="宋体;SimSun" w:hint="eastAsia" w:ascii="仿宋" w:hAnsi="仿宋"/>
          <w:b/>
          <w:bCs/>
          <w:color w:val="000000"/>
          <w:kern w:val="0"/>
          <w:sz w:val="32"/>
          <w:szCs w:val="30"/>
        </w:rPr>
      </w:r>
    </w:p>
    <w:p>
      <w:pPr>
        <w:pStyle w:val="Normal"/>
        <w:spacing w:lineRule="exact" w:line="589"/>
        <w:ind w:firstLineChars="131" w:startChars="0" w:start="0" w:endChars="0" w:end="0"/>
        <w:rPr/>
      </w:pPr>
      <w:r>
        <w:rPr>
          <w:rFonts w:eastAsia="仿宋_GB2312" w:cs="宋体;SimSun" w:hint="eastAsia" w:ascii="仿宋_GB2312" w:hAnsi="仿宋_GB2312"/>
          <w:color w:val="000000"/>
          <w:kern w:val="0"/>
          <w:sz w:val="32"/>
          <w:szCs w:val="30"/>
        </w:rPr>
        <w:t xml:space="preserve"> </w:t>
      </w:r>
      <w:r>
        <w:rPr>
          <w:rFonts w:ascii="黑体;SimHei" w:hAnsi="黑体;SimHei" w:cs="宋体;SimSun" w:hint="eastAsia" w:eastAsia="黑体;SimHei"/>
          <w:b/>
          <w:bCs/>
          <w:color w:val="000000"/>
          <w:kern w:val="0"/>
          <w:sz w:val="32"/>
          <w:szCs w:val="30"/>
        </w:rPr>
        <w:t>第一条</w:t>
      </w:r>
      <w:r>
        <w:rPr>
          <w:rFonts w:ascii="仿宋_GB2312" w:hAnsi="仿宋_GB2312" w:cs="宋体;SimSun" w:hint="eastAsia" w:eastAsia="仿宋_GB2312"/>
          <w:color w:val="000000"/>
          <w:kern w:val="0"/>
          <w:sz w:val="32"/>
          <w:szCs w:val="30"/>
        </w:rPr>
        <w:t xml:space="preserve">  为规范吉林省著名商标认定，保护著名商标持有人的合法权益，根据有关法律、法规，结合本省实际，制定本条例。</w:t>
      </w:r>
    </w:p>
    <w:p>
      <w:pPr>
        <w:pStyle w:val="Normal"/>
        <w:spacing w:lineRule="exact" w:line="589"/>
        <w:ind w:firstLineChars="200" w:startChars="0" w:start="0" w:endChars="0" w:end="0"/>
        <w:rPr/>
      </w:pPr>
      <w:r>
        <w:rPr>
          <w:rFonts w:ascii="黑体;SimHei" w:hAnsi="黑体;SimHei" w:cs="宋体;SimSun" w:hint="eastAsia" w:eastAsia="黑体;SimHei"/>
          <w:b/>
          <w:bCs/>
          <w:color w:val="000000"/>
          <w:kern w:val="0"/>
          <w:sz w:val="32"/>
          <w:szCs w:val="30"/>
        </w:rPr>
        <w:t>第二条</w:t>
      </w:r>
      <w:r>
        <w:rPr>
          <w:rFonts w:ascii="仿宋_GB2312" w:hAnsi="仿宋_GB2312" w:cs="宋体;SimSun" w:hint="eastAsia" w:eastAsia="仿宋_GB2312"/>
          <w:color w:val="000000"/>
          <w:kern w:val="0"/>
          <w:sz w:val="32"/>
          <w:szCs w:val="30"/>
        </w:rPr>
        <w:t>　本条例所称吉林省著名商标，是指商标持有人的商标注册地址在本省行政区域内，其商品或者服务质量优良，在市场上为相关公众知晓并享有较高声誉，由省工商行政管理部门按照本条例规定认定的注册商标。</w:t>
      </w:r>
    </w:p>
    <w:p>
      <w:pPr>
        <w:pStyle w:val="New"/>
        <w:spacing w:lineRule="exact" w:line="589"/>
        <w:ind w:firstLineChars="200" w:startChars="0" w:start="0" w:endChars="0" w:end="0"/>
        <w:rPr/>
      </w:pPr>
      <w:r>
        <w:rPr>
          <w:rFonts w:ascii="黑体;SimHei" w:hAnsi="黑体;SimHei" w:cs="宋体;SimSun" w:hint="eastAsia" w:eastAsia="黑体;SimHei"/>
          <w:b/>
          <w:bCs/>
          <w:color w:val="000000"/>
          <w:kern w:val="0"/>
          <w:sz w:val="32"/>
          <w:szCs w:val="30"/>
          <w:lang w:bidi="en-US"/>
        </w:rPr>
        <w:t>第三条</w:t>
      </w:r>
      <w:r>
        <w:rPr>
          <w:rFonts w:ascii="仿宋_GB2312" w:hAnsi="仿宋_GB2312" w:cs="宋体;SimSun" w:hint="eastAsia" w:eastAsia="仿宋_GB2312"/>
          <w:color w:val="000000"/>
          <w:kern w:val="0"/>
          <w:sz w:val="32"/>
          <w:szCs w:val="30"/>
        </w:rPr>
        <w:t>　本省行政区域内吉林省著名商标的认定、保护和监督管理工作，适用本条例。</w:t>
      </w:r>
    </w:p>
    <w:p>
      <w:pPr>
        <w:pStyle w:val="New"/>
        <w:spacing w:lineRule="exact" w:line="589"/>
        <w:ind w:firstLineChars="200" w:startChars="0" w:start="0" w:endChars="0" w:end="0"/>
        <w:rPr/>
      </w:pPr>
      <w:r>
        <w:rPr>
          <w:rFonts w:ascii="黑体;SimHei" w:hAnsi="黑体;SimHei" w:cs="宋体;SimSun" w:hint="eastAsia" w:eastAsia="黑体;SimHei"/>
          <w:b/>
          <w:bCs/>
          <w:color w:val="000000"/>
          <w:kern w:val="0"/>
          <w:sz w:val="32"/>
          <w:szCs w:val="32"/>
          <w:lang w:bidi="en-US"/>
        </w:rPr>
        <w:t>第</w:t>
      </w:r>
      <w:r>
        <w:rPr>
          <w:rFonts w:ascii="黑体;SimHei" w:hAnsi="黑体;SimHei" w:cs="宋体;SimSun" w:hint="eastAsia" w:eastAsia="黑体;SimHei"/>
          <w:bCs/>
          <w:color w:val="000000"/>
          <w:kern w:val="0"/>
          <w:sz w:val="32"/>
          <w:szCs w:val="32"/>
          <w:lang w:bidi="en-US"/>
        </w:rPr>
        <w:t>四</w:t>
      </w:r>
      <w:r>
        <w:rPr>
          <w:rFonts w:ascii="黑体;SimHei" w:hAnsi="黑体;SimHei" w:cs="宋体;SimSun" w:hint="eastAsia" w:eastAsia="黑体;SimHei"/>
          <w:b/>
          <w:bCs/>
          <w:color w:val="000000"/>
          <w:kern w:val="0"/>
          <w:sz w:val="32"/>
          <w:szCs w:val="32"/>
          <w:lang w:bidi="en-US"/>
        </w:rPr>
        <w:t>条</w:t>
      </w:r>
      <w:r>
        <w:rPr>
          <w:rFonts w:ascii="仿宋_GB2312" w:hAnsi="仿宋_GB2312" w:cs="仿宋" w:hint="eastAsia" w:eastAsia="仿宋_GB2312"/>
          <w:sz w:val="32"/>
          <w:szCs w:val="30"/>
        </w:rPr>
        <w:t xml:space="preserve">  </w:t>
      </w:r>
      <w:r>
        <w:rPr>
          <w:rFonts w:ascii="仿宋_GB2312" w:hAnsi="仿宋_GB2312" w:cs="宋体;SimSun" w:hint="eastAsia" w:eastAsia="仿宋_GB2312"/>
          <w:color w:val="000000"/>
          <w:kern w:val="0"/>
          <w:sz w:val="32"/>
          <w:szCs w:val="30"/>
        </w:rPr>
        <w:t>县级以上人民政府应当鼓励、支持商标持有人提高商品或者服务的质量和信誉，创建吉林省著名商标。</w:t>
      </w:r>
    </w:p>
    <w:p>
      <w:pPr>
        <w:pStyle w:val="New"/>
        <w:spacing w:lineRule="exact" w:line="589"/>
        <w:rPr/>
      </w:pPr>
      <w:r>
        <w:rPr>
          <w:rFonts w:eastAsia="仿宋_GB2312" w:cs="宋体;SimSun" w:hint="eastAsia" w:ascii="仿宋_GB2312" w:hAnsi="仿宋_GB2312"/>
          <w:color w:val="000000"/>
          <w:kern w:val="0"/>
          <w:sz w:val="32"/>
          <w:szCs w:val="30"/>
        </w:rPr>
        <w:t xml:space="preserve">    </w:t>
      </w:r>
      <w:r>
        <w:rPr>
          <w:rFonts w:ascii="黑体;SimHei" w:hAnsi="黑体;SimHei" w:cs="宋体;SimSun" w:hint="eastAsia" w:eastAsia="黑体;SimHei"/>
          <w:bCs/>
          <w:color w:val="000000"/>
          <w:kern w:val="0"/>
          <w:sz w:val="32"/>
          <w:szCs w:val="30"/>
          <w:lang w:bidi="en-US"/>
        </w:rPr>
        <w:t>第五条</w:t>
      </w:r>
      <w:r>
        <w:rPr>
          <w:rFonts w:ascii="黑体;SimHei" w:hAnsi="黑体;SimHei" w:cs="宋体;SimSun" w:hint="eastAsia" w:eastAsia="黑体;SimHei"/>
          <w:color w:val="000000"/>
          <w:kern w:val="0"/>
          <w:sz w:val="32"/>
          <w:szCs w:val="30"/>
        </w:rPr>
        <w:t>　</w:t>
      </w:r>
      <w:r>
        <w:rPr>
          <w:rFonts w:ascii="仿宋_GB2312" w:hAnsi="仿宋_GB2312" w:cs="宋体;SimSun" w:hint="eastAsia" w:eastAsia="仿宋_GB2312"/>
          <w:color w:val="000000"/>
          <w:kern w:val="0"/>
          <w:sz w:val="32"/>
          <w:szCs w:val="30"/>
        </w:rPr>
        <w:t>省工商行政管理部门负责吉林省著名商标的认定、保护、监督管理和服务工作。</w:t>
      </w:r>
    </w:p>
    <w:p>
      <w:pPr>
        <w:pStyle w:val="New"/>
        <w:spacing w:lineRule="exact" w:line="589"/>
        <w:ind w:firstLineChars="200" w:startChars="0" w:start="0" w:endChars="0" w:end="0"/>
        <w:rPr>
          <w:rFonts w:ascii="仿宋_GB2312" w:hAnsi="仿宋_GB2312" w:eastAsia="仿宋_GB2312" w:cs="宋体;SimSun" w:hint="eastAsia"/>
          <w:color w:val="000000"/>
          <w:kern w:val="0"/>
          <w:sz w:val="32"/>
          <w:szCs w:val="30"/>
        </w:rPr>
      </w:pPr>
      <w:r>
        <w:rPr>
          <w:rFonts w:ascii="仿宋_GB2312" w:hAnsi="仿宋_GB2312" w:cs="宋体;SimSun" w:hint="eastAsia" w:eastAsia="仿宋_GB2312"/>
          <w:color w:val="000000"/>
          <w:kern w:val="0"/>
          <w:sz w:val="32"/>
          <w:szCs w:val="30"/>
        </w:rPr>
        <w:t>市、县级工商行政管理部门负责本行政区域内著名商标的推荐、保护、监督管理和服务工作。</w:t>
      </w:r>
    </w:p>
    <w:p>
      <w:pPr>
        <w:pStyle w:val="New"/>
        <w:spacing w:lineRule="exact" w:line="589"/>
        <w:ind w:firstLineChars="131" w:startChars="0" w:start="0" w:endChars="0" w:end="0"/>
        <w:rPr/>
      </w:pPr>
      <w:r>
        <w:rPr>
          <w:rFonts w:eastAsia="仿宋_GB2312" w:cs="宋体;SimSun" w:hint="eastAsia" w:ascii="仿宋_GB2312" w:hAnsi="仿宋_GB2312"/>
          <w:b/>
          <w:bCs/>
          <w:color w:val="000000"/>
          <w:kern w:val="0"/>
          <w:sz w:val="32"/>
          <w:szCs w:val="30"/>
          <w:lang w:bidi="en-US"/>
        </w:rPr>
        <w:t xml:space="preserve"> </w:t>
      </w:r>
      <w:r>
        <w:rPr>
          <w:rFonts w:ascii="黑体;SimHei" w:hAnsi="黑体;SimHei" w:cs="宋体;SimSun" w:hint="eastAsia" w:eastAsia="黑体;SimHei"/>
          <w:b/>
          <w:bCs/>
          <w:color w:val="000000"/>
          <w:kern w:val="0"/>
          <w:sz w:val="32"/>
          <w:szCs w:val="30"/>
          <w:lang w:bidi="en-US"/>
        </w:rPr>
        <w:t>第六条</w:t>
      </w:r>
      <w:r>
        <w:rPr>
          <w:rFonts w:ascii="仿宋_GB2312" w:hAnsi="仿宋_GB2312" w:cs="宋体;SimSun" w:hint="eastAsia" w:eastAsia="仿宋_GB2312"/>
          <w:b/>
          <w:bCs/>
          <w:color w:val="000000"/>
          <w:kern w:val="0"/>
          <w:sz w:val="32"/>
          <w:szCs w:val="30"/>
          <w:lang w:bidi="en-US"/>
        </w:rPr>
        <w:t>　</w:t>
      </w:r>
      <w:r>
        <w:rPr>
          <w:rFonts w:ascii="仿宋_GB2312" w:hAnsi="仿宋_GB2312" w:cs="宋体;SimSun" w:hint="eastAsia" w:eastAsia="仿宋_GB2312"/>
          <w:color w:val="000000"/>
          <w:kern w:val="0"/>
          <w:sz w:val="32"/>
          <w:szCs w:val="30"/>
        </w:rPr>
        <w:t>本省注册商标自核准之日起，连续在商品或者服务上使用已满一年的，商标持有人可以直接向省工商行政管理部门提出吉林省著名商标认定申请或者经商标持有人同意由市、县工商行政管理部门向省工商行政管理部门推荐。</w:t>
      </w:r>
    </w:p>
    <w:p>
      <w:pPr>
        <w:pStyle w:val="New"/>
        <w:spacing w:lineRule="exact" w:line="589"/>
        <w:ind w:firstLineChars="200" w:startChars="0" w:start="0" w:endChars="0" w:end="0"/>
        <w:rPr/>
      </w:pPr>
      <w:r>
        <w:rPr>
          <w:rFonts w:ascii="黑体;SimHei" w:hAnsi="黑体;SimHei" w:cs="宋体;SimSun" w:hint="eastAsia" w:eastAsia="黑体;SimHei"/>
          <w:b/>
          <w:bCs/>
          <w:color w:val="000000"/>
          <w:kern w:val="0"/>
          <w:sz w:val="32"/>
          <w:szCs w:val="30"/>
        </w:rPr>
        <w:t>第七条</w:t>
      </w:r>
      <w:r>
        <w:rPr>
          <w:rFonts w:ascii="仿宋_GB2312" w:hAnsi="仿宋_GB2312" w:cs="宋体;SimSun" w:hint="eastAsia" w:eastAsia="仿宋_GB2312"/>
          <w:color w:val="000000"/>
          <w:kern w:val="0"/>
          <w:sz w:val="32"/>
          <w:szCs w:val="30"/>
        </w:rPr>
        <w:t>　认定吉林省著名商标，应当符合下列条件：</w:t>
      </w:r>
    </w:p>
    <w:p>
      <w:pPr>
        <w:pStyle w:val="New"/>
        <w:spacing w:lineRule="exact" w:line="589"/>
        <w:rPr>
          <w:rFonts w:ascii="仿宋_GB2312" w:hAnsi="仿宋_GB2312" w:eastAsia="仿宋_GB2312" w:cs="宋体;SimSun" w:hint="eastAsia"/>
          <w:color w:val="000000"/>
          <w:kern w:val="0"/>
          <w:sz w:val="32"/>
          <w:szCs w:val="30"/>
        </w:rPr>
      </w:pPr>
      <w:r>
        <w:rPr>
          <w:rFonts w:ascii="仿宋_GB2312" w:hAnsi="仿宋_GB2312" w:cs="宋体;SimSun" w:hint="eastAsia" w:eastAsia="仿宋_GB2312"/>
          <w:color w:val="000000"/>
          <w:kern w:val="0"/>
          <w:sz w:val="32"/>
          <w:szCs w:val="30"/>
        </w:rPr>
        <w:t>　　（一）使用该注册商标的商品或者服务，在市场上为相关公众知晓并享有较高声誉；</w:t>
      </w:r>
    </w:p>
    <w:p>
      <w:pPr>
        <w:pStyle w:val="New"/>
        <w:spacing w:lineRule="exact" w:line="589"/>
        <w:rPr>
          <w:rFonts w:ascii="仿宋_GB2312" w:hAnsi="仿宋_GB2312" w:eastAsia="仿宋_GB2312" w:cs="宋体;SimSun" w:hint="eastAsia"/>
          <w:color w:val="000000"/>
          <w:kern w:val="0"/>
          <w:sz w:val="32"/>
          <w:szCs w:val="30"/>
        </w:rPr>
      </w:pPr>
      <w:r>
        <w:rPr>
          <w:rFonts w:ascii="仿宋_GB2312" w:hAnsi="仿宋_GB2312" w:cs="宋体;SimSun" w:hint="eastAsia" w:eastAsia="仿宋_GB2312"/>
          <w:color w:val="000000"/>
          <w:kern w:val="0"/>
          <w:sz w:val="32"/>
          <w:szCs w:val="30"/>
        </w:rPr>
        <w:t>　　（二）使用该注册商标的商品或者服务，在省内相同类型、相同档次的商品或者服务中，质量或者服务优良；</w:t>
      </w:r>
    </w:p>
    <w:p>
      <w:pPr>
        <w:pStyle w:val="New"/>
        <w:spacing w:lineRule="exact" w:line="589"/>
        <w:rPr>
          <w:rFonts w:ascii="仿宋_GB2312" w:hAnsi="仿宋_GB2312" w:eastAsia="仿宋_GB2312" w:cs="宋体;SimSun" w:hint="eastAsia"/>
          <w:color w:val="000000"/>
          <w:kern w:val="0"/>
          <w:sz w:val="32"/>
          <w:szCs w:val="30"/>
        </w:rPr>
      </w:pPr>
      <w:r>
        <w:rPr>
          <w:rFonts w:eastAsia="仿宋_GB2312" w:cs="宋体;SimSun" w:hint="eastAsia" w:ascii="仿宋_GB2312" w:hAnsi="仿宋_GB2312"/>
          <w:color w:val="000000"/>
          <w:kern w:val="0"/>
          <w:sz w:val="32"/>
          <w:szCs w:val="30"/>
        </w:rPr>
        <w:t xml:space="preserve">    </w:t>
      </w:r>
      <w:r>
        <w:rPr>
          <w:rFonts w:ascii="仿宋_GB2312" w:hAnsi="仿宋_GB2312" w:cs="宋体;SimSun" w:hint="eastAsia" w:eastAsia="仿宋_GB2312"/>
          <w:color w:val="000000"/>
          <w:kern w:val="0"/>
          <w:sz w:val="32"/>
          <w:szCs w:val="30"/>
        </w:rPr>
        <w:t>（三）使用该注册商标的商品或者服务，近三年的经营额、纳税额、市场占有率，在省内同行业中领先。</w:t>
      </w:r>
    </w:p>
    <w:p>
      <w:pPr>
        <w:pStyle w:val="New"/>
        <w:spacing w:lineRule="exact" w:line="589"/>
        <w:ind w:firstLineChars="200" w:startChars="0" w:start="0" w:endChars="0" w:end="0"/>
        <w:rPr/>
      </w:pPr>
      <w:r>
        <w:rPr>
          <w:rFonts w:ascii="黑体;SimHei" w:hAnsi="黑体;SimHei" w:cs="宋体;SimSun" w:hint="eastAsia" w:eastAsia="黑体;SimHei"/>
          <w:b/>
          <w:bCs/>
          <w:color w:val="000000"/>
          <w:kern w:val="0"/>
          <w:sz w:val="32"/>
          <w:szCs w:val="30"/>
        </w:rPr>
        <w:t>第八条</w:t>
      </w:r>
      <w:r>
        <w:rPr>
          <w:rFonts w:ascii="仿宋_GB2312" w:hAnsi="仿宋_GB2312" w:cs="宋体;SimSun" w:hint="eastAsia" w:eastAsia="仿宋_GB2312"/>
          <w:color w:val="000000"/>
          <w:kern w:val="0"/>
          <w:sz w:val="32"/>
          <w:szCs w:val="30"/>
        </w:rPr>
        <w:t>　省工商行政管理部门收到申请或者推荐材料后，应当按照本条例第七条规定的认定条件进行审核。</w:t>
      </w:r>
    </w:p>
    <w:p>
      <w:pPr>
        <w:pStyle w:val="New"/>
        <w:spacing w:lineRule="exact" w:line="589"/>
        <w:ind w:firstLineChars="200" w:startChars="0" w:start="0" w:endChars="0" w:end="0"/>
        <w:rPr>
          <w:rFonts w:ascii="仿宋_GB2312" w:hAnsi="仿宋_GB2312" w:eastAsia="仿宋_GB2312" w:cs="宋体;SimSun" w:hint="eastAsia"/>
          <w:color w:val="000000"/>
          <w:kern w:val="0"/>
          <w:sz w:val="32"/>
          <w:szCs w:val="30"/>
        </w:rPr>
      </w:pPr>
      <w:r>
        <w:rPr>
          <w:rFonts w:ascii="仿宋_GB2312" w:hAnsi="仿宋_GB2312" w:cs="宋体;SimSun" w:hint="eastAsia" w:eastAsia="仿宋_GB2312"/>
          <w:color w:val="000000"/>
          <w:kern w:val="0"/>
          <w:sz w:val="32"/>
          <w:szCs w:val="30"/>
        </w:rPr>
        <w:t>符合认定条件的，应当在省级报刊以及政府公开网站上予以公示。自公示之日起二十日内无异议的，予以认定，发给《吉林省著名商标证书》。</w:t>
      </w:r>
    </w:p>
    <w:p>
      <w:pPr>
        <w:pStyle w:val="New"/>
        <w:spacing w:lineRule="exact" w:line="589"/>
        <w:ind w:firstLineChars="200" w:startChars="0" w:start="0" w:endChars="0" w:end="0"/>
        <w:rPr>
          <w:rFonts w:ascii="仿宋_GB2312" w:hAnsi="仿宋_GB2312" w:eastAsia="仿宋_GB2312" w:cs="宋体;SimSun" w:hint="eastAsia"/>
          <w:color w:val="000000"/>
          <w:kern w:val="0"/>
          <w:sz w:val="32"/>
          <w:szCs w:val="30"/>
        </w:rPr>
      </w:pPr>
      <w:r>
        <w:rPr>
          <w:rFonts w:ascii="仿宋_GB2312" w:hAnsi="仿宋_GB2312" w:cs="宋体;SimSun" w:hint="eastAsia" w:eastAsia="仿宋_GB2312"/>
          <w:color w:val="000000"/>
          <w:kern w:val="0"/>
          <w:sz w:val="32"/>
          <w:szCs w:val="30"/>
        </w:rPr>
        <w:t>对于拟认定的著名商标有异议的，应当在公示之日起二十日内，向省工商行政管理部门提出。省工商行政管理部门应当听取异议人和被异议人陈述事实和理由，经过调查核实后，自公示期满之日起十五日内作出裁定。</w:t>
      </w:r>
    </w:p>
    <w:p>
      <w:pPr>
        <w:pStyle w:val="New"/>
        <w:spacing w:lineRule="exact" w:line="589"/>
        <w:ind w:firstLineChars="200" w:startChars="0" w:start="0" w:endChars="0" w:end="0"/>
        <w:rPr>
          <w:rFonts w:ascii="仿宋_GB2312" w:hAnsi="仿宋_GB2312" w:eastAsia="仿宋_GB2312" w:cs="仿宋" w:hint="eastAsia"/>
          <w:sz w:val="32"/>
          <w:szCs w:val="30"/>
          <w:bdr w:val="single" w:sz="4" w:space="0" w:color="000000"/>
        </w:rPr>
      </w:pPr>
      <w:r>
        <w:rPr>
          <w:rFonts w:ascii="仿宋_GB2312" w:hAnsi="仿宋_GB2312" w:cs="宋体;SimSun" w:hint="eastAsia" w:eastAsia="仿宋_GB2312"/>
          <w:color w:val="000000"/>
          <w:kern w:val="0"/>
          <w:sz w:val="32"/>
          <w:szCs w:val="30"/>
        </w:rPr>
        <w:t>未被认定的，应当书面通知申请人或者推荐人并说明理由。</w:t>
      </w:r>
    </w:p>
    <w:p>
      <w:pPr>
        <w:pStyle w:val="Normal"/>
        <w:spacing w:lineRule="exact" w:line="589"/>
        <w:ind w:hangingChars="62" w:startChars="104" w:endChars="0" w:end="0"/>
        <w:rPr/>
      </w:pPr>
      <w:r>
        <w:rPr>
          <w:rFonts w:eastAsia="仿宋_GB2312" w:cs="宋体;SimSun" w:hint="eastAsia" w:ascii="仿宋_GB2312" w:hAnsi="仿宋_GB2312"/>
          <w:b/>
          <w:bCs/>
          <w:color w:val="000000"/>
          <w:kern w:val="0"/>
          <w:sz w:val="32"/>
          <w:szCs w:val="30"/>
        </w:rPr>
        <w:t xml:space="preserve">  </w:t>
      </w:r>
      <w:r>
        <w:rPr>
          <w:rFonts w:eastAsia="黑体;SimHei" w:cs="宋体;SimSun" w:hint="eastAsia" w:ascii="黑体;SimHei" w:hAnsi="黑体;SimHei"/>
          <w:b/>
          <w:bCs/>
          <w:color w:val="000000"/>
          <w:kern w:val="0"/>
          <w:sz w:val="32"/>
          <w:szCs w:val="30"/>
        </w:rPr>
        <w:t xml:space="preserve"> </w:t>
      </w:r>
      <w:r>
        <w:rPr>
          <w:rFonts w:ascii="黑体;SimHei" w:hAnsi="黑体;SimHei" w:cs="宋体;SimSun" w:hint="eastAsia" w:eastAsia="黑体;SimHei"/>
          <w:b/>
          <w:bCs/>
          <w:color w:val="000000"/>
          <w:kern w:val="0"/>
          <w:sz w:val="32"/>
          <w:szCs w:val="30"/>
        </w:rPr>
        <w:t>第九条</w:t>
      </w:r>
      <w:r>
        <w:rPr>
          <w:rFonts w:ascii="仿宋_GB2312" w:hAnsi="仿宋_GB2312" w:cs="宋体;SimSun" w:hint="eastAsia" w:eastAsia="仿宋_GB2312"/>
          <w:b/>
          <w:bCs/>
          <w:color w:val="000000"/>
          <w:kern w:val="0"/>
          <w:sz w:val="32"/>
          <w:szCs w:val="30"/>
        </w:rPr>
        <w:t>　</w:t>
      </w:r>
      <w:r>
        <w:rPr>
          <w:rFonts w:ascii="仿宋_GB2312" w:hAnsi="仿宋_GB2312" w:cs="宋体;SimSun" w:hint="eastAsia" w:eastAsia="仿宋_GB2312"/>
          <w:color w:val="000000"/>
          <w:kern w:val="0"/>
          <w:sz w:val="32"/>
          <w:szCs w:val="30"/>
        </w:rPr>
        <w:t>认定吉林省著名商标，不得收取任何费用。</w:t>
      </w:r>
    </w:p>
    <w:p>
      <w:pPr>
        <w:pStyle w:val="Normal"/>
        <w:spacing w:lineRule="exact" w:line="589"/>
        <w:ind w:firstLineChars="200" w:startChars="0" w:start="0" w:endChars="0" w:end="0"/>
        <w:rPr/>
      </w:pPr>
      <w:r>
        <w:rPr>
          <w:rFonts w:ascii="黑体;SimHei" w:hAnsi="黑体;SimHei" w:cs="宋体;SimSun" w:hint="eastAsia" w:eastAsia="黑体;SimHei"/>
          <w:b/>
          <w:bCs/>
          <w:color w:val="000000"/>
          <w:kern w:val="0"/>
          <w:sz w:val="32"/>
          <w:szCs w:val="30"/>
        </w:rPr>
        <w:t>第十条</w:t>
      </w:r>
      <w:r>
        <w:rPr>
          <w:rFonts w:ascii="仿宋_GB2312" w:hAnsi="仿宋_GB2312" w:cs="宋体;SimSun" w:hint="eastAsia" w:eastAsia="仿宋_GB2312"/>
          <w:color w:val="000000"/>
          <w:kern w:val="0"/>
          <w:sz w:val="32"/>
          <w:szCs w:val="30"/>
        </w:rPr>
        <w:t>　吉林省著名商标字样或者标志，可以与该注册商标同时使用，国家另有规定的除外。</w:t>
      </w:r>
    </w:p>
    <w:p>
      <w:pPr>
        <w:pStyle w:val="New"/>
        <w:spacing w:lineRule="exact" w:line="589"/>
        <w:ind w:firstLineChars="200" w:startChars="0" w:start="0" w:endChars="0" w:end="0"/>
        <w:rPr/>
      </w:pPr>
      <w:r>
        <w:rPr>
          <w:rFonts w:ascii="黑体;SimHei" w:hAnsi="黑体;SimHei" w:cs="宋体;SimSun" w:hint="eastAsia" w:eastAsia="黑体;SimHei"/>
          <w:b/>
          <w:bCs/>
          <w:color w:val="000000"/>
          <w:kern w:val="0"/>
          <w:sz w:val="32"/>
          <w:szCs w:val="30"/>
        </w:rPr>
        <w:t>第十一条</w:t>
      </w:r>
      <w:r>
        <w:rPr>
          <w:rFonts w:ascii="仿宋_GB2312" w:hAnsi="仿宋_GB2312" w:cs="宋体;SimSun" w:hint="eastAsia" w:eastAsia="仿宋_GB2312"/>
          <w:color w:val="000000"/>
          <w:kern w:val="0"/>
          <w:sz w:val="32"/>
          <w:szCs w:val="30"/>
        </w:rPr>
        <w:t>　吉林省著名商标持有人，应当履行下列义务：</w:t>
      </w:r>
    </w:p>
    <w:p>
      <w:pPr>
        <w:pStyle w:val="New"/>
        <w:spacing w:lineRule="exact" w:line="589"/>
        <w:rPr>
          <w:rFonts w:ascii="仿宋_GB2312" w:hAnsi="仿宋_GB2312" w:eastAsia="仿宋_GB2312" w:cs="宋体;SimSun" w:hint="eastAsia"/>
          <w:color w:val="000000"/>
          <w:kern w:val="0"/>
          <w:sz w:val="32"/>
          <w:szCs w:val="30"/>
        </w:rPr>
      </w:pPr>
      <w:r>
        <w:rPr>
          <w:rFonts w:ascii="仿宋_GB2312" w:hAnsi="仿宋_GB2312" w:cs="宋体;SimSun" w:hint="eastAsia" w:eastAsia="仿宋_GB2312"/>
          <w:color w:val="000000"/>
          <w:kern w:val="0"/>
          <w:sz w:val="32"/>
          <w:szCs w:val="30"/>
        </w:rPr>
        <w:t>　　（一）吉林省著名商标字样和标志，必须在认定的商品或者服务范围内使用，不得扩大范围；</w:t>
      </w:r>
    </w:p>
    <w:p>
      <w:pPr>
        <w:pStyle w:val="New"/>
        <w:spacing w:lineRule="exact" w:line="589"/>
        <w:rPr>
          <w:rFonts w:ascii="仿宋_GB2312" w:hAnsi="仿宋_GB2312" w:eastAsia="仿宋_GB2312" w:cs="宋体;SimSun" w:hint="eastAsia"/>
          <w:color w:val="000000"/>
          <w:kern w:val="0"/>
          <w:sz w:val="32"/>
          <w:szCs w:val="30"/>
        </w:rPr>
      </w:pPr>
      <w:r>
        <w:rPr>
          <w:rFonts w:ascii="仿宋_GB2312" w:hAnsi="仿宋_GB2312" w:cs="宋体;SimSun" w:hint="eastAsia" w:eastAsia="仿宋_GB2312"/>
          <w:color w:val="000000"/>
          <w:kern w:val="0"/>
          <w:sz w:val="32"/>
          <w:szCs w:val="30"/>
        </w:rPr>
        <w:t>　　（二）保证商品或者服务质量，维护著名商标的信誉；</w:t>
      </w:r>
    </w:p>
    <w:p>
      <w:pPr>
        <w:pStyle w:val="New"/>
        <w:spacing w:lineRule="exact" w:line="589"/>
        <w:rPr>
          <w:rFonts w:ascii="仿宋_GB2312" w:hAnsi="仿宋_GB2312" w:eastAsia="仿宋_GB2312" w:cs="宋体;SimSun" w:hint="eastAsia"/>
          <w:color w:val="000000"/>
          <w:kern w:val="0"/>
          <w:sz w:val="32"/>
          <w:szCs w:val="30"/>
        </w:rPr>
      </w:pPr>
      <w:r>
        <w:rPr>
          <w:rFonts w:ascii="仿宋_GB2312" w:hAnsi="仿宋_GB2312" w:cs="宋体;SimSun" w:hint="eastAsia" w:eastAsia="仿宋_GB2312"/>
          <w:color w:val="000000"/>
          <w:kern w:val="0"/>
          <w:sz w:val="32"/>
          <w:szCs w:val="30"/>
        </w:rPr>
        <w:t>　　（三）许可他人使用其吉林省著名商标的，许可人应当对被许可人的商品或者服务质量负责，并依法签订合同后，报省工商行政管理部门备案；</w:t>
      </w:r>
    </w:p>
    <w:p>
      <w:pPr>
        <w:pStyle w:val="Normal"/>
        <w:spacing w:lineRule="exact" w:line="589"/>
        <w:ind w:firstLineChars="200" w:startChars="0" w:start="0" w:endChars="0" w:end="0"/>
        <w:rPr>
          <w:rFonts w:ascii="仿宋_GB2312" w:hAnsi="仿宋_GB2312" w:eastAsia="仿宋_GB2312" w:cs="宋体;SimSun" w:hint="eastAsia"/>
          <w:color w:val="000000"/>
          <w:kern w:val="0"/>
          <w:sz w:val="32"/>
          <w:szCs w:val="30"/>
        </w:rPr>
      </w:pPr>
      <w:r>
        <w:rPr>
          <w:rFonts w:ascii="仿宋_GB2312" w:hAnsi="仿宋_GB2312" w:cs="宋体;SimSun" w:hint="eastAsia" w:eastAsia="仿宋_GB2312"/>
          <w:color w:val="000000"/>
          <w:kern w:val="0"/>
          <w:sz w:val="32"/>
          <w:szCs w:val="30"/>
        </w:rPr>
        <w:t>（四）变更商标注册人的名义、地址及其他注册事项的，在依法核准变更之日起三十日内，将变更事项报省工商行政管理部门备案。</w:t>
      </w:r>
    </w:p>
    <w:p>
      <w:pPr>
        <w:pStyle w:val="Normal"/>
        <w:spacing w:lineRule="exact" w:line="589"/>
        <w:ind w:firstLineChars="131" w:startChars="0" w:start="0" w:endChars="0" w:end="0"/>
        <w:rPr/>
      </w:pPr>
      <w:r>
        <w:rPr>
          <w:rFonts w:eastAsia="仿宋_GB2312" w:cs="宋体;SimSun" w:hint="eastAsia" w:ascii="仿宋_GB2312" w:hAnsi="仿宋_GB2312"/>
          <w:b/>
          <w:bCs/>
          <w:color w:val="000000"/>
          <w:kern w:val="0"/>
          <w:sz w:val="32"/>
          <w:szCs w:val="30"/>
        </w:rPr>
        <w:t xml:space="preserve"> </w:t>
      </w:r>
      <w:r>
        <w:rPr>
          <w:rFonts w:ascii="黑体;SimHei" w:hAnsi="黑体;SimHei" w:cs="宋体;SimSun" w:hint="eastAsia" w:eastAsia="黑体;SimHei"/>
          <w:b/>
          <w:bCs/>
          <w:color w:val="000000"/>
          <w:kern w:val="0"/>
          <w:sz w:val="32"/>
          <w:szCs w:val="30"/>
        </w:rPr>
        <w:t>第十二条</w:t>
      </w:r>
      <w:r>
        <w:rPr>
          <w:rFonts w:ascii="仿宋_GB2312" w:hAnsi="仿宋_GB2312" w:cs="宋体;SimSun" w:hint="eastAsia" w:eastAsia="仿宋_GB2312"/>
          <w:b/>
          <w:bCs/>
          <w:color w:val="000000"/>
          <w:kern w:val="0"/>
          <w:sz w:val="32"/>
          <w:szCs w:val="30"/>
        </w:rPr>
        <w:t>　</w:t>
      </w:r>
      <w:r>
        <w:rPr>
          <w:rFonts w:ascii="仿宋_GB2312" w:hAnsi="仿宋_GB2312" w:cs="宋体;SimSun" w:hint="eastAsia" w:eastAsia="仿宋_GB2312"/>
          <w:color w:val="000000"/>
          <w:kern w:val="0"/>
          <w:sz w:val="32"/>
          <w:szCs w:val="30"/>
        </w:rPr>
        <w:t>未经省工商行政管理部门认定，任何单位和个人不得使用吉林省著名商标字样或者标志。</w:t>
      </w:r>
    </w:p>
    <w:p>
      <w:pPr>
        <w:pStyle w:val="New"/>
        <w:spacing w:lineRule="exact" w:line="589"/>
        <w:rPr/>
      </w:pPr>
      <w:r>
        <w:rPr>
          <w:rFonts w:eastAsia="仿宋_GB2312" w:cs="宋体;SimSun" w:hint="eastAsia" w:ascii="仿宋_GB2312" w:hAnsi="仿宋_GB2312"/>
          <w:color w:val="000000"/>
          <w:kern w:val="0"/>
          <w:sz w:val="32"/>
          <w:szCs w:val="30"/>
        </w:rPr>
        <w:t xml:space="preserve">    </w:t>
      </w:r>
      <w:r>
        <w:rPr>
          <w:rFonts w:ascii="黑体;SimHei" w:hAnsi="黑体;SimHei" w:cs="宋体;SimSun" w:hint="eastAsia" w:eastAsia="黑体;SimHei"/>
          <w:b/>
          <w:bCs/>
          <w:color w:val="000000"/>
          <w:kern w:val="0"/>
          <w:sz w:val="32"/>
          <w:szCs w:val="30"/>
        </w:rPr>
        <w:t>第十三条</w:t>
      </w:r>
      <w:r>
        <w:rPr>
          <w:rFonts w:ascii="仿宋_GB2312" w:hAnsi="仿宋_GB2312" w:cs="仿宋" w:hint="eastAsia" w:eastAsia="仿宋_GB2312"/>
          <w:sz w:val="32"/>
          <w:szCs w:val="30"/>
        </w:rPr>
        <w:t>　吉林省著名商标持有人有下列情形之一的，由省工商行政管理部门撤销已被认定的吉林省著名商标：</w:t>
      </w:r>
    </w:p>
    <w:p>
      <w:pPr>
        <w:pStyle w:val="New"/>
        <w:spacing w:lineRule="exact" w:line="589"/>
        <w:rPr>
          <w:rFonts w:ascii="仿宋_GB2312" w:hAnsi="仿宋_GB2312" w:eastAsia="仿宋_GB2312" w:cs="仿宋" w:hint="eastAsia"/>
          <w:sz w:val="32"/>
          <w:szCs w:val="30"/>
        </w:rPr>
      </w:pPr>
      <w:r>
        <w:rPr>
          <w:rFonts w:eastAsia="仿宋_GB2312" w:cs="仿宋" w:hint="eastAsia" w:ascii="仿宋_GB2312" w:hAnsi="仿宋_GB2312"/>
          <w:sz w:val="32"/>
          <w:szCs w:val="30"/>
        </w:rPr>
        <w:t xml:space="preserve">    </w:t>
      </w:r>
      <w:r>
        <w:rPr>
          <w:rFonts w:ascii="仿宋_GB2312" w:hAnsi="仿宋_GB2312" w:cs="仿宋" w:hint="eastAsia" w:eastAsia="仿宋_GB2312"/>
          <w:sz w:val="32"/>
          <w:szCs w:val="30"/>
        </w:rPr>
        <w:t>（一）以提供虚假证明材料等手段，骗取吉林省著名商标认定的；</w:t>
      </w:r>
    </w:p>
    <w:p>
      <w:pPr>
        <w:pStyle w:val="New"/>
        <w:spacing w:lineRule="exact" w:line="589"/>
        <w:rPr>
          <w:rFonts w:ascii="仿宋_GB2312" w:hAnsi="仿宋_GB2312" w:eastAsia="仿宋_GB2312" w:cs="仿宋" w:hint="eastAsia"/>
          <w:sz w:val="32"/>
          <w:szCs w:val="30"/>
        </w:rPr>
      </w:pPr>
      <w:r>
        <w:rPr>
          <w:rFonts w:eastAsia="仿宋_GB2312" w:cs="仿宋" w:hint="eastAsia" w:ascii="仿宋_GB2312" w:hAnsi="仿宋_GB2312"/>
          <w:sz w:val="32"/>
          <w:szCs w:val="30"/>
        </w:rPr>
        <w:t xml:space="preserve">    </w:t>
      </w:r>
      <w:r>
        <w:rPr>
          <w:rFonts w:ascii="仿宋_GB2312" w:hAnsi="仿宋_GB2312" w:cs="仿宋" w:hint="eastAsia" w:eastAsia="仿宋_GB2312"/>
          <w:sz w:val="32"/>
          <w:szCs w:val="30"/>
        </w:rPr>
        <w:t>（二）使用吉林省著名商标的商品质量或者服务标准降低的；</w:t>
      </w:r>
    </w:p>
    <w:p>
      <w:pPr>
        <w:pStyle w:val="New"/>
        <w:spacing w:lineRule="exact" w:line="589"/>
        <w:rPr/>
      </w:pPr>
      <w:r>
        <w:rPr>
          <w:rFonts w:eastAsia="仿宋_GB2312" w:cs="仿宋" w:hint="eastAsia" w:ascii="仿宋_GB2312" w:hAnsi="仿宋_GB2312"/>
          <w:sz w:val="32"/>
          <w:szCs w:val="30"/>
        </w:rPr>
        <w:t xml:space="preserve">    </w:t>
      </w:r>
      <w:r>
        <w:rPr>
          <w:rFonts w:ascii="仿宋_GB2312" w:hAnsi="仿宋_GB2312" w:cs="仿宋" w:hint="eastAsia" w:eastAsia="仿宋_GB2312"/>
          <w:spacing w:val="-11"/>
          <w:sz w:val="32"/>
          <w:szCs w:val="30"/>
        </w:rPr>
        <w:t>（三）被列入经营异常名录六个月以上或者被列入严重违法企业名单的；</w:t>
      </w:r>
    </w:p>
    <w:p>
      <w:pPr>
        <w:pStyle w:val="New"/>
        <w:spacing w:lineRule="exact" w:line="589"/>
        <w:rPr>
          <w:rFonts w:ascii="仿宋_GB2312" w:hAnsi="仿宋_GB2312" w:eastAsia="仿宋_GB2312" w:cs="仿宋" w:hint="eastAsia"/>
          <w:sz w:val="32"/>
          <w:szCs w:val="30"/>
        </w:rPr>
      </w:pPr>
      <w:r>
        <w:rPr>
          <w:rFonts w:eastAsia="仿宋_GB2312" w:cs="仿宋" w:hint="eastAsia" w:ascii="仿宋_GB2312" w:hAnsi="仿宋_GB2312"/>
          <w:sz w:val="32"/>
          <w:szCs w:val="30"/>
        </w:rPr>
        <w:t xml:space="preserve">    </w:t>
      </w:r>
      <w:r>
        <w:rPr>
          <w:rFonts w:ascii="仿宋_GB2312" w:hAnsi="仿宋_GB2312" w:cs="仿宋" w:hint="eastAsia" w:eastAsia="仿宋_GB2312"/>
          <w:sz w:val="32"/>
          <w:szCs w:val="30"/>
        </w:rPr>
        <w:t>（四）已转产、破产的；</w:t>
      </w:r>
    </w:p>
    <w:p>
      <w:pPr>
        <w:pStyle w:val="New"/>
        <w:spacing w:lineRule="exact" w:line="589"/>
        <w:rPr>
          <w:rFonts w:ascii="仿宋_GB2312" w:hAnsi="仿宋_GB2312" w:eastAsia="仿宋_GB2312" w:cs="仿宋" w:hint="eastAsia"/>
          <w:sz w:val="32"/>
          <w:szCs w:val="30"/>
        </w:rPr>
      </w:pPr>
      <w:r>
        <w:rPr>
          <w:rFonts w:eastAsia="仿宋_GB2312" w:cs="仿宋" w:hint="eastAsia" w:ascii="仿宋_GB2312" w:hAnsi="仿宋_GB2312"/>
          <w:sz w:val="32"/>
          <w:szCs w:val="30"/>
        </w:rPr>
        <w:t xml:space="preserve">    </w:t>
      </w:r>
      <w:r>
        <w:rPr>
          <w:rFonts w:ascii="仿宋_GB2312" w:hAnsi="仿宋_GB2312" w:cs="仿宋" w:hint="eastAsia" w:eastAsia="仿宋_GB2312"/>
          <w:sz w:val="32"/>
          <w:szCs w:val="30"/>
        </w:rPr>
        <w:t>（五）商标没有正当理由连续两年不使用的；</w:t>
      </w:r>
    </w:p>
    <w:p>
      <w:pPr>
        <w:pStyle w:val="New"/>
        <w:spacing w:lineRule="exact" w:line="589"/>
        <w:rPr>
          <w:rFonts w:ascii="仿宋_GB2312" w:hAnsi="仿宋_GB2312" w:eastAsia="仿宋_GB2312" w:cs="仿宋" w:hint="eastAsia"/>
          <w:sz w:val="32"/>
          <w:szCs w:val="30"/>
        </w:rPr>
      </w:pPr>
      <w:r>
        <w:rPr>
          <w:rFonts w:eastAsia="仿宋_GB2312" w:cs="仿宋" w:hint="eastAsia" w:ascii="仿宋_GB2312" w:hAnsi="仿宋_GB2312"/>
          <w:sz w:val="32"/>
          <w:szCs w:val="30"/>
        </w:rPr>
        <w:t xml:space="preserve">    </w:t>
      </w:r>
      <w:r>
        <w:rPr>
          <w:rFonts w:ascii="仿宋_GB2312" w:hAnsi="仿宋_GB2312" w:cs="仿宋" w:hint="eastAsia" w:eastAsia="仿宋_GB2312"/>
          <w:sz w:val="32"/>
          <w:szCs w:val="30"/>
        </w:rPr>
        <w:t>（六）因生产经营违反法律、法规规定，被有关部门给予处罚，且情节严重、社会影响较大的；</w:t>
      </w:r>
    </w:p>
    <w:p>
      <w:pPr>
        <w:pStyle w:val="Normal"/>
        <w:spacing w:lineRule="exact" w:line="589"/>
        <w:rPr>
          <w:rFonts w:ascii="仿宋_GB2312" w:hAnsi="仿宋_GB2312" w:eastAsia="仿宋_GB2312" w:cs="仿宋" w:hint="eastAsia"/>
          <w:sz w:val="32"/>
          <w:szCs w:val="30"/>
        </w:rPr>
      </w:pPr>
      <w:r>
        <w:rPr>
          <w:rFonts w:eastAsia="仿宋_GB2312" w:cs="仿宋" w:hint="eastAsia" w:ascii="仿宋_GB2312" w:hAnsi="仿宋_GB2312"/>
          <w:sz w:val="32"/>
          <w:szCs w:val="30"/>
        </w:rPr>
        <w:t xml:space="preserve">    </w:t>
      </w:r>
      <w:r>
        <w:rPr>
          <w:rFonts w:ascii="仿宋_GB2312" w:hAnsi="仿宋_GB2312" w:cs="仿宋" w:hint="eastAsia" w:eastAsia="仿宋_GB2312"/>
          <w:sz w:val="32"/>
          <w:szCs w:val="30"/>
        </w:rPr>
        <w:t>（七）其他丧失吉林省著名商标认定条件的。</w:t>
      </w:r>
    </w:p>
    <w:p>
      <w:pPr>
        <w:pStyle w:val="New"/>
        <w:spacing w:lineRule="exact" w:line="589"/>
        <w:ind w:firstLineChars="131" w:startChars="0" w:start="0" w:endChars="0" w:end="0"/>
        <w:rPr/>
      </w:pPr>
      <w:r>
        <w:rPr>
          <w:rFonts w:eastAsia="仿宋_GB2312" w:cs="宋体;SimSun" w:hint="eastAsia" w:ascii="仿宋_GB2312" w:hAnsi="仿宋_GB2312"/>
          <w:b/>
          <w:bCs/>
          <w:color w:val="000000"/>
          <w:kern w:val="0"/>
          <w:sz w:val="32"/>
          <w:szCs w:val="30"/>
        </w:rPr>
        <w:t xml:space="preserve"> </w:t>
      </w:r>
      <w:r>
        <w:rPr>
          <w:rFonts w:ascii="仿宋_GB2312" w:hAnsi="仿宋_GB2312" w:cs="宋体;SimSun" w:hint="eastAsia" w:eastAsia="仿宋_GB2312"/>
          <w:b/>
          <w:bCs/>
          <w:color w:val="000000"/>
          <w:kern w:val="0"/>
          <w:sz w:val="32"/>
          <w:szCs w:val="30"/>
        </w:rPr>
        <w:t>第十四条　</w:t>
      </w:r>
      <w:r>
        <w:rPr>
          <w:rFonts w:ascii="仿宋_GB2312" w:hAnsi="仿宋_GB2312" w:cs="仿宋" w:hint="eastAsia" w:eastAsia="仿宋_GB2312"/>
          <w:sz w:val="32"/>
          <w:szCs w:val="30"/>
        </w:rPr>
        <w:t>将他人吉林省著名商标作为企业名称中的字号使用，误导公众，构成不正当竞争行为的，依照《中华人民共和国反不正当竞争法》处理。</w:t>
      </w:r>
    </w:p>
    <w:p>
      <w:pPr>
        <w:pStyle w:val="Normal"/>
        <w:spacing w:lineRule="exact" w:line="589"/>
        <w:rPr/>
      </w:pPr>
      <w:r>
        <w:rPr>
          <w:rFonts w:eastAsia="仿宋_GB2312" w:cs="仿宋" w:hint="eastAsia" w:ascii="仿宋_GB2312" w:hAnsi="仿宋_GB2312"/>
          <w:sz w:val="32"/>
          <w:szCs w:val="30"/>
        </w:rPr>
        <w:t xml:space="preserve">    </w:t>
      </w:r>
      <w:r>
        <w:rPr>
          <w:rFonts w:ascii="仿宋_GB2312" w:hAnsi="仿宋_GB2312" w:cs="宋体;SimSun" w:hint="eastAsia" w:eastAsia="仿宋_GB2312"/>
          <w:b/>
          <w:bCs/>
          <w:color w:val="000000"/>
          <w:kern w:val="0"/>
          <w:sz w:val="32"/>
          <w:szCs w:val="30"/>
        </w:rPr>
        <w:t>第十五条</w:t>
      </w:r>
      <w:r>
        <w:rPr>
          <w:rFonts w:ascii="仿宋_GB2312" w:hAnsi="仿宋_GB2312" w:cs="宋体;SimSun" w:hint="eastAsia" w:eastAsia="仿宋_GB2312"/>
          <w:color w:val="000000"/>
          <w:kern w:val="0"/>
          <w:sz w:val="32"/>
          <w:szCs w:val="30"/>
        </w:rPr>
        <w:t xml:space="preserve">  </w:t>
      </w:r>
      <w:r>
        <w:rPr>
          <w:rFonts w:ascii="仿宋_GB2312" w:hAnsi="仿宋_GB2312" w:cs="仿宋" w:hint="eastAsia" w:eastAsia="仿宋_GB2312"/>
          <w:color w:val="000000"/>
          <w:sz w:val="32"/>
          <w:szCs w:val="30"/>
        </w:rPr>
        <w:t>将与他人吉林省著名商标相同或者近似的文字作为企业名称，在吉林省著名商标认定后申请登记使用，可能欺骗公众或者使公众造成误解的，工商行政管理部门不予核准登记。但该商标具有其他含义或者法律、法规规定的其他情形的除外。</w:t>
      </w:r>
    </w:p>
    <w:p>
      <w:pPr>
        <w:pStyle w:val="Normal"/>
        <w:spacing w:lineRule="exact" w:line="589"/>
        <w:ind w:firstLineChars="200" w:startChars="0" w:start="0" w:endChars="0" w:end="0"/>
        <w:rPr/>
      </w:pPr>
      <w:r>
        <w:rPr>
          <w:rFonts w:ascii="仿宋_GB2312" w:hAnsi="仿宋_GB2312" w:cs="宋体;SimSun" w:hint="eastAsia" w:eastAsia="仿宋_GB2312"/>
          <w:b/>
          <w:bCs/>
          <w:color w:val="000000"/>
          <w:kern w:val="0"/>
          <w:sz w:val="32"/>
          <w:szCs w:val="30"/>
        </w:rPr>
        <w:t>第十六条</w:t>
      </w:r>
      <w:r>
        <w:rPr>
          <w:rFonts w:ascii="仿宋_GB2312" w:hAnsi="仿宋_GB2312" w:cs="仿宋" w:hint="eastAsia" w:eastAsia="仿宋_GB2312"/>
          <w:color w:val="000000"/>
          <w:sz w:val="32"/>
          <w:szCs w:val="30"/>
        </w:rPr>
        <w:t xml:space="preserve"> 复制、摹仿、翻译他人吉林省著名商标或者其主要部分，在其商品上作为商标使用，可能误导公众的，由县级以上工商行政管理部门责令立即停止侵权行为，没收、销毁侵权的商品及其标识。</w:t>
      </w:r>
    </w:p>
    <w:p>
      <w:pPr>
        <w:pStyle w:val="Normal"/>
        <w:spacing w:lineRule="exact" w:line="589"/>
        <w:ind w:firstLineChars="200" w:startChars="0" w:start="0" w:endChars="0" w:end="0"/>
        <w:rPr/>
      </w:pPr>
      <w:r>
        <w:rPr>
          <w:rFonts w:ascii="仿宋_GB2312" w:hAnsi="仿宋_GB2312" w:cs="宋体;SimSun" w:hint="eastAsia" w:eastAsia="仿宋_GB2312"/>
          <w:b/>
          <w:bCs/>
          <w:color w:val="000000"/>
          <w:kern w:val="0"/>
          <w:sz w:val="32"/>
          <w:szCs w:val="30"/>
        </w:rPr>
        <w:t>第十七条</w:t>
      </w:r>
      <w:r>
        <w:rPr>
          <w:rFonts w:ascii="仿宋_GB2312" w:hAnsi="仿宋_GB2312" w:cs="仿宋" w:hint="eastAsia" w:eastAsia="仿宋_GB2312"/>
          <w:sz w:val="32"/>
          <w:szCs w:val="30"/>
        </w:rPr>
        <w:t>　吉林省著名商标专用权被侵害，属于商标法第五十七条规定的侵犯注册商标专用权情形的，由县级以上工商行政管理部门责令立即停止侵权行为，违法经营额五万元以上的，可以处违法经营额五倍以下的罚款；没有违法经营额或者违法经营额不足五万元的，可以处二十五万元以下的罚款。</w:t>
      </w:r>
    </w:p>
    <w:p>
      <w:pPr>
        <w:pStyle w:val="Normal"/>
        <w:spacing w:lineRule="exact" w:line="589"/>
        <w:ind w:firstLineChars="200" w:startChars="0" w:start="0" w:endChars="0" w:end="0"/>
        <w:rPr/>
      </w:pPr>
      <w:r>
        <w:rPr>
          <w:rFonts w:ascii="黑体;SimHei" w:hAnsi="黑体;SimHei" w:cs="宋体;SimSun" w:hint="eastAsia" w:eastAsia="黑体;SimHei"/>
          <w:b/>
          <w:bCs/>
          <w:color w:val="000000"/>
          <w:kern w:val="0"/>
          <w:sz w:val="32"/>
          <w:szCs w:val="30"/>
        </w:rPr>
        <w:t>第十八条</w:t>
      </w:r>
      <w:r>
        <w:rPr>
          <w:rFonts w:ascii="仿宋_GB2312" w:hAnsi="仿宋_GB2312" w:cs="仿宋" w:hint="eastAsia" w:eastAsia="仿宋_GB2312"/>
          <w:color w:val="000000"/>
          <w:sz w:val="32"/>
          <w:szCs w:val="30"/>
        </w:rPr>
        <w:t>　</w:t>
      </w:r>
      <w:r>
        <w:rPr>
          <w:rFonts w:ascii="仿宋_GB2312" w:hAnsi="仿宋_GB2312" w:cs="仿宋" w:hint="eastAsia" w:eastAsia="仿宋_GB2312"/>
          <w:color w:val="000000"/>
          <w:spacing w:val="-9"/>
          <w:sz w:val="32"/>
          <w:szCs w:val="30"/>
        </w:rPr>
        <w:t>未经省工商行政管理部门认定，在商品或者服务上擅自使用吉林省著名商标字样或者标志的，由县级以上工商行政管理部门责令立即改正，没收违法所得，并处以三千元以上二万元以下的罚款。</w:t>
      </w:r>
    </w:p>
    <w:p>
      <w:pPr>
        <w:pStyle w:val="Normal"/>
        <w:spacing w:lineRule="exact" w:line="589"/>
        <w:ind w:firstLineChars="200" w:startChars="0" w:start="0" w:endChars="0" w:end="0"/>
        <w:rPr/>
      </w:pPr>
      <w:r>
        <w:rPr>
          <w:rFonts w:ascii="黑体;SimHei" w:hAnsi="黑体;SimHei" w:cs="宋体;SimSun" w:hint="eastAsia" w:eastAsia="黑体;SimHei"/>
          <w:b/>
          <w:bCs/>
          <w:color w:val="000000"/>
          <w:kern w:val="0"/>
          <w:sz w:val="32"/>
          <w:szCs w:val="30"/>
        </w:rPr>
        <w:t>第十九条</w:t>
      </w:r>
      <w:r>
        <w:rPr>
          <w:rFonts w:ascii="仿宋_GB2312" w:hAnsi="仿宋_GB2312" w:cs="仿宋" w:hint="eastAsia" w:eastAsia="仿宋_GB2312"/>
          <w:color w:val="000000"/>
          <w:sz w:val="32"/>
          <w:szCs w:val="30"/>
        </w:rPr>
        <w:t>　</w:t>
      </w:r>
      <w:r>
        <w:rPr>
          <w:rFonts w:ascii="仿宋_GB2312" w:hAnsi="仿宋_GB2312" w:cs="仿宋" w:hint="eastAsia" w:eastAsia="仿宋_GB2312"/>
          <w:color w:val="000000"/>
          <w:spacing w:val="-6"/>
          <w:sz w:val="32"/>
          <w:szCs w:val="30"/>
        </w:rPr>
        <w:t>在经销的商品上，使用与吉林省著名商标标志近似的标志，使购买者误认，造成与吉林省著名商标商品相混淆的，由县级以上工商行政管理部门责令其限期改正；逾期未改正的，处以五千元以上一万元以下的罚款。</w:t>
      </w:r>
    </w:p>
    <w:p>
      <w:pPr>
        <w:pStyle w:val="Normal"/>
        <w:spacing w:lineRule="exact" w:line="589"/>
        <w:ind w:firstLineChars="200" w:startChars="0" w:start="0" w:endChars="0" w:end="0"/>
        <w:rPr/>
      </w:pPr>
      <w:r>
        <w:rPr>
          <w:rFonts w:ascii="黑体;SimHei" w:hAnsi="黑体;SimHei" w:cs="宋体;SimSun" w:hint="eastAsia" w:eastAsia="黑体;SimHei"/>
          <w:b/>
          <w:bCs/>
          <w:color w:val="000000"/>
          <w:kern w:val="0"/>
          <w:sz w:val="32"/>
          <w:szCs w:val="30"/>
        </w:rPr>
        <w:t>第二十条</w:t>
      </w:r>
      <w:r>
        <w:rPr>
          <w:rFonts w:ascii="仿宋_GB2312" w:hAnsi="仿宋_GB2312" w:cs="仿宋" w:hint="eastAsia" w:eastAsia="仿宋_GB2312"/>
          <w:color w:val="000000"/>
          <w:sz w:val="32"/>
          <w:szCs w:val="30"/>
        </w:rPr>
        <w:t xml:space="preserve">　工商行政管理部门工作人员及其他有关人员在认定和保护吉林省著名商标工作中，玩忽职守、滥用职权、徇私舞弊，尚不构成犯罪的，依法给予处分。  </w:t>
      </w:r>
    </w:p>
    <w:p>
      <w:pPr>
        <w:pStyle w:val="Normal"/>
        <w:spacing w:lineRule="exact" w:line="589"/>
        <w:ind w:firstLineChars="200" w:startChars="0" w:start="0" w:endChars="0" w:end="0"/>
        <w:rPr/>
      </w:pPr>
      <w:r>
        <w:rPr>
          <w:rFonts w:ascii="黑体;SimHei" w:hAnsi="黑体;SimHei" w:cs="宋体;SimSun" w:hint="eastAsia" w:eastAsia="黑体;SimHei"/>
          <w:b/>
          <w:bCs/>
          <w:color w:val="000000"/>
          <w:kern w:val="0"/>
          <w:sz w:val="32"/>
          <w:szCs w:val="30"/>
        </w:rPr>
        <w:t>第二十一条</w:t>
      </w:r>
      <w:r>
        <w:rPr>
          <w:rFonts w:ascii="仿宋_GB2312" w:hAnsi="仿宋_GB2312" w:cs="仿宋" w:hint="eastAsia" w:eastAsia="仿宋_GB2312"/>
          <w:color w:val="000000"/>
          <w:sz w:val="32"/>
          <w:szCs w:val="30"/>
        </w:rPr>
        <w:t>　省工商行政管理部门可以根据本条例制定吉林省著名商标认定和保护工作相关细则。</w:t>
      </w:r>
    </w:p>
    <w:p>
      <w:pPr>
        <w:pStyle w:val="Normal"/>
        <w:spacing w:lineRule="exact" w:line="589"/>
        <w:ind w:firstLineChars="200" w:startChars="0" w:start="0" w:endChars="0" w:end="0"/>
        <w:rPr/>
      </w:pPr>
      <w:r>
        <w:rPr>
          <w:rFonts w:ascii="黑体;SimHei" w:hAnsi="黑体;SimHei" w:cs="宋体;SimSun" w:hint="eastAsia" w:eastAsia="黑体;SimHei"/>
          <w:b/>
          <w:bCs/>
          <w:color w:val="000000"/>
          <w:kern w:val="0"/>
          <w:sz w:val="32"/>
          <w:szCs w:val="30"/>
        </w:rPr>
        <w:t>第二十二条</w:t>
      </w:r>
      <w:r>
        <w:rPr>
          <w:rFonts w:ascii="仿宋_GB2312" w:hAnsi="仿宋_GB2312" w:cs="仿宋" w:hint="eastAsia" w:eastAsia="仿宋_GB2312"/>
          <w:color w:val="000000"/>
          <w:sz w:val="32"/>
          <w:szCs w:val="30"/>
        </w:rPr>
        <w:t xml:space="preserve">  本条例自</w:t>
      </w:r>
      <w:r>
        <w:rPr>
          <w:rFonts w:eastAsia="仿宋_GB2312" w:cs="仿宋" w:hint="eastAsia" w:ascii="仿宋_GB2312" w:hAnsi="仿宋_GB2312"/>
          <w:color w:val="000000"/>
          <w:sz w:val="32"/>
          <w:szCs w:val="30"/>
        </w:rPr>
        <w:t>2007</w:t>
      </w:r>
      <w:r>
        <w:rPr>
          <w:rFonts w:ascii="仿宋_GB2312" w:hAnsi="仿宋_GB2312" w:cs="仿宋" w:hint="eastAsia" w:eastAsia="仿宋_GB2312"/>
          <w:color w:val="000000"/>
          <w:sz w:val="32"/>
          <w:szCs w:val="30"/>
        </w:rPr>
        <w:t>年</w:t>
      </w:r>
      <w:r>
        <w:rPr>
          <w:rFonts w:eastAsia="仿宋_GB2312" w:cs="仿宋" w:hint="eastAsia" w:ascii="仿宋_GB2312" w:hAnsi="仿宋_GB2312"/>
          <w:color w:val="000000"/>
          <w:sz w:val="32"/>
          <w:szCs w:val="30"/>
        </w:rPr>
        <w:t>11</w:t>
      </w:r>
      <w:r>
        <w:rPr>
          <w:rFonts w:ascii="仿宋_GB2312" w:hAnsi="仿宋_GB2312" w:cs="仿宋" w:hint="eastAsia" w:eastAsia="仿宋_GB2312"/>
          <w:color w:val="000000"/>
          <w:sz w:val="32"/>
          <w:szCs w:val="30"/>
        </w:rPr>
        <w:t>月</w:t>
      </w:r>
      <w:r>
        <w:rPr>
          <w:rFonts w:eastAsia="仿宋_GB2312" w:cs="仿宋" w:hint="eastAsia" w:ascii="仿宋_GB2312" w:hAnsi="仿宋_GB2312"/>
          <w:color w:val="000000"/>
          <w:sz w:val="32"/>
          <w:szCs w:val="30"/>
        </w:rPr>
        <w:t>1</w:t>
      </w:r>
      <w:r>
        <w:rPr>
          <w:rFonts w:ascii="仿宋_GB2312" w:hAnsi="仿宋_GB2312" w:cs="仿宋" w:hint="eastAsia" w:eastAsia="仿宋_GB2312"/>
          <w:color w:val="000000"/>
          <w:sz w:val="32"/>
          <w:szCs w:val="30"/>
        </w:rPr>
        <w:t>日起施行。</w:t>
      </w:r>
    </w:p>
    <w:sectPr>
      <w:footerReference w:type="default" r:id="rId2"/>
      <w:type w:val="nextPage"/>
      <w:pgSz w:w="11906" w:h="16838"/>
      <w:pgMar w:left="1701" w:right="1701" w:gutter="0" w:header="0" w:top="2211" w:footer="992"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ahoma">
    <w:charset w:val="00" w:characterSet="windows-1252"/>
    <w:family w:val="swiss"/>
    <w:pitch w:val="variable"/>
  </w:font>
  <w:font w:name="宋体">
    <w:altName w:val="SimSun"/>
    <w:charset w:val="86"/>
    <w:family w:val="auto"/>
    <w:pitch w:val="variable"/>
  </w:font>
  <w:font w:name="楷体_GB2312">
    <w:charset w:val="86"/>
    <w:family w:val="modern"/>
    <w:pitch w:val="default"/>
  </w:font>
  <w:font w:name="仿宋">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center</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pBdr/>
                            <w:rPr/>
                          </w:pPr>
                          <w:r>
                            <w:rPr/>
                            <w:fldChar w:fldCharType="begin"/>
                          </w:r>
                          <w:r>
                            <w:rPr/>
                            <w:instrText xml:space="preserve"> PAGE </w:instrText>
                          </w:r>
                          <w:r>
                            <w:rPr/>
                            <w:fldChar w:fldCharType="separate"/>
                          </w:r>
                          <w:r>
                            <w:rPr/>
                            <w:t>6</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pt;mso-position-vertical:top;mso-position-vertical-relative:text;margin-left:210.35pt;mso-position-horizontal:center;mso-position-horizontal-relative:margin">
              <v:fill opacity="0f"/>
              <v:textbox inset="0in,0in,0in,0in">
                <w:txbxContent>
                  <w:p>
                    <w:pPr>
                      <w:pStyle w:val="Footer"/>
                      <w:pBdr/>
                      <w:rPr/>
                    </w:pPr>
                    <w:r>
                      <w:rPr/>
                      <w:fldChar w:fldCharType="begin"/>
                    </w:r>
                    <w:r>
                      <w:rPr/>
                      <w:instrText xml:space="preserve"> PAGE </w:instrText>
                    </w:r>
                    <w:r>
                      <w:rPr/>
                      <w:fldChar w:fldCharType="separate"/>
                    </w:r>
                    <w:r>
                      <w:rPr/>
                      <w:t>6</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New">
    <w:name w:val="正文 New New"/>
    <w:qFormat/>
    <w:pPr>
      <w:widowControl/>
      <w:bidi w:val="0"/>
      <w:snapToGrid w:val="false"/>
      <w:spacing w:before="0" w:after="200"/>
    </w:pPr>
    <w:rPr>
      <w:rFonts w:ascii="Tahoma" w:hAnsi="Tahoma" w:eastAsia="微软雅黑" w:cs="Tahoma"/>
      <w:color w:val="auto"/>
      <w:sz w:val="22"/>
      <w:szCs w:val="22"/>
      <w:lang w:bidi="ar-SA" w:val="en-US" w:eastAsia="zh-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
    <w:name w:val="正文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New1">
    <w:name w:val="页脚 New"/>
    <w:basedOn w:val="New"/>
    <w:qFormat/>
    <w:pPr>
      <w:tabs>
        <w:tab w:val="clear" w:pos="420"/>
        <w:tab w:val="center" w:pos="4153" w:leader="none"/>
        <w:tab w:val="right" w:pos="8306" w:leader="none"/>
      </w:tabs>
      <w:snapToGrid w:val="false"/>
      <w:jc w:val="start"/>
    </w:pPr>
    <w:rPr>
      <w:kern w:val="2"/>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2017-06-02T13:27:00Z</dcterms:created>
  <dc:creator>user</dc:creator>
  <dc:description/>
  <cp:keywords/>
  <dc:language>en-US</dc:language>
  <cp:lastModifiedBy>Windows 用户</cp:lastModifiedBy>
  <dcterms:modified xsi:type="dcterms:W3CDTF">2018-02-23T13:12:00Z</dcterms:modified>
  <cp:revision>2</cp:revision>
  <dc:subject/>
  <dc:title>吉林省著名商标认定和保护条例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