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2"/>
        <w:jc w:val="center"/>
        <w:rPr>
          <w:rFonts w:ascii="宋体" w:hAnsi="宋体" w:cs="仿宋_GB2312" w:hint="eastAsia"/>
        </w:rPr>
      </w:pPr>
      <w:r>
        <w:rPr>
          <w:rFonts w:cs="仿宋_GB2312" w:hint="eastAsia" w:ascii="宋体" w:hAnsi="宋体"/>
        </w:rPr>
      </w:r>
    </w:p>
    <w:p>
      <w:pPr>
        <w:pStyle w:val="Normal"/>
        <w:spacing w:lineRule="exact" w:line="592"/>
        <w:jc w:val="center"/>
        <w:rPr>
          <w:rFonts w:ascii="宋体" w:hAnsi="宋体" w:eastAsia="方正小标宋简体" w:cs="宋体" w:hint="eastAsia"/>
          <w:bCs/>
          <w:sz w:val="44"/>
          <w:szCs w:val="44"/>
        </w:rPr>
      </w:pPr>
      <w:r>
        <w:rPr>
          <w:rFonts w:ascii="宋体" w:hAnsi="宋体" w:cs="宋体" w:hint="eastAsia" w:eastAsia="方正小标宋简体"/>
          <w:bCs/>
          <w:sz w:val="44"/>
          <w:szCs w:val="44"/>
        </w:rPr>
        <w:t>延边朝鲜族自治州促进人参产业发展条例</w:t>
      </w:r>
    </w:p>
    <w:p>
      <w:pPr>
        <w:pStyle w:val="Normal"/>
        <w:spacing w:lineRule="exact" w:line="592"/>
        <w:jc w:val="center"/>
        <w:rPr>
          <w:rFonts w:ascii="宋体" w:hAnsi="宋体" w:eastAsia="方正小标宋简体" w:cs="宋体" w:hint="eastAsia"/>
          <w:bCs/>
          <w:sz w:val="44"/>
          <w:szCs w:val="44"/>
        </w:rPr>
      </w:pPr>
      <w:r>
        <w:rPr>
          <w:rFonts w:eastAsia="方正小标宋简体" w:cs="宋体" w:hint="eastAsia" w:ascii="宋体" w:hAnsi="宋体"/>
          <w:bCs/>
          <w:sz w:val="44"/>
          <w:szCs w:val="44"/>
        </w:rPr>
      </w:r>
    </w:p>
    <w:p>
      <w:pPr>
        <w:pStyle w:val="Normal"/>
        <w:spacing w:lineRule="exact" w:line="592"/>
        <w:ind w:firstLineChars="0" w:firstLine="0" w:startChars="200" w:endChars="200"/>
        <w:rPr>
          <w:rFonts w:ascii="宋体" w:hAnsi="宋体" w:eastAsia="楷体_GB2312" w:cs="楷体_GB2312" w:hint="eastAsia"/>
        </w:rPr>
      </w:pPr>
      <w:r>
        <w:rPr>
          <w:rFonts w:ascii="宋体" w:hAnsi="宋体" w:cs="楷体_GB2312" w:hint="eastAsia" w:eastAsia="楷体_GB2312"/>
        </w:rPr>
        <w:t>（</w:t>
      </w:r>
      <w:r>
        <w:rPr>
          <w:rFonts w:eastAsia="楷体_GB2312" w:cs="楷体_GB2312" w:hint="eastAsia" w:ascii="宋体" w:hAnsi="宋体"/>
        </w:rPr>
        <w:t>2012</w:t>
      </w:r>
      <w:r>
        <w:rPr>
          <w:rFonts w:ascii="宋体" w:hAnsi="宋体" w:cs="楷体_GB2312" w:hint="eastAsia" w:eastAsia="楷体_GB2312"/>
        </w:rPr>
        <w:t>年</w:t>
      </w:r>
      <w:r>
        <w:rPr>
          <w:rFonts w:eastAsia="楷体_GB2312" w:cs="楷体_GB2312" w:hint="eastAsia" w:ascii="宋体" w:hAnsi="宋体"/>
        </w:rPr>
        <w:t>1</w:t>
      </w:r>
      <w:r>
        <w:rPr>
          <w:rFonts w:ascii="宋体" w:hAnsi="宋体" w:cs="楷体_GB2312" w:hint="eastAsia" w:eastAsia="楷体_GB2312"/>
        </w:rPr>
        <w:t>月</w:t>
      </w:r>
      <w:r>
        <w:rPr>
          <w:rFonts w:eastAsia="楷体_GB2312" w:cs="楷体_GB2312" w:hint="eastAsia" w:ascii="宋体" w:hAnsi="宋体"/>
        </w:rPr>
        <w:t>13</w:t>
      </w:r>
      <w:r>
        <w:rPr>
          <w:rFonts w:ascii="宋体" w:hAnsi="宋体" w:cs="楷体_GB2312" w:hint="eastAsia" w:eastAsia="楷体_GB2312"/>
        </w:rPr>
        <w:t xml:space="preserve">日延边朝鲜族自治州第十三届人民代表大会第五次会议通过  </w:t>
      </w:r>
      <w:r>
        <w:rPr>
          <w:rFonts w:eastAsia="楷体_GB2312" w:cs="楷体_GB2312" w:hint="eastAsia" w:ascii="宋体" w:hAnsi="宋体"/>
        </w:rPr>
        <w:t>2012</w:t>
      </w:r>
      <w:r>
        <w:rPr>
          <w:rFonts w:ascii="宋体" w:hAnsi="宋体" w:cs="楷体_GB2312" w:hint="eastAsia" w:eastAsia="楷体_GB2312"/>
        </w:rPr>
        <w:t>年</w:t>
      </w:r>
      <w:r>
        <w:rPr>
          <w:rFonts w:eastAsia="楷体_GB2312" w:cs="楷体_GB2312" w:hint="eastAsia" w:ascii="宋体" w:hAnsi="宋体"/>
        </w:rPr>
        <w:t>3</w:t>
      </w:r>
      <w:r>
        <w:rPr>
          <w:rFonts w:ascii="宋体" w:hAnsi="宋体" w:cs="楷体_GB2312" w:hint="eastAsia" w:eastAsia="楷体_GB2312"/>
        </w:rPr>
        <w:t>月</w:t>
      </w:r>
      <w:r>
        <w:rPr>
          <w:rFonts w:eastAsia="楷体_GB2312" w:cs="楷体_GB2312" w:hint="eastAsia" w:ascii="宋体" w:hAnsi="宋体"/>
        </w:rPr>
        <w:t>23</w:t>
      </w:r>
      <w:r>
        <w:rPr>
          <w:rFonts w:ascii="宋体" w:hAnsi="宋体" w:cs="楷体_GB2312" w:hint="eastAsia" w:eastAsia="楷体_GB2312"/>
        </w:rPr>
        <w:t>日吉林省第十一届人民代表大会常务委员会第三十一次会议批准  根据</w:t>
      </w:r>
      <w:r>
        <w:rPr>
          <w:rFonts w:eastAsia="楷体_GB2312" w:cs="楷体_GB2312" w:hint="eastAsia" w:ascii="宋体" w:hAnsi="宋体"/>
        </w:rPr>
        <w:t>2022</w:t>
      </w:r>
      <w:r>
        <w:rPr>
          <w:rFonts w:ascii="宋体" w:hAnsi="宋体" w:cs="楷体_GB2312" w:hint="eastAsia" w:eastAsia="楷体_GB2312"/>
        </w:rPr>
        <w:t>年</w:t>
      </w:r>
      <w:r>
        <w:rPr>
          <w:rFonts w:eastAsia="楷体_GB2312" w:cs="楷体_GB2312" w:hint="eastAsia" w:ascii="宋体" w:hAnsi="宋体"/>
        </w:rPr>
        <w:t>1</w:t>
      </w:r>
      <w:r>
        <w:rPr>
          <w:rFonts w:ascii="宋体" w:hAnsi="宋体" w:cs="楷体_GB2312" w:hint="eastAsia" w:eastAsia="楷体_GB2312"/>
        </w:rPr>
        <w:t>月</w:t>
      </w:r>
      <w:r>
        <w:rPr>
          <w:rFonts w:eastAsia="楷体_GB2312" w:cs="楷体_GB2312" w:hint="eastAsia" w:ascii="宋体" w:hAnsi="宋体"/>
        </w:rPr>
        <w:t>14</w:t>
      </w:r>
      <w:r>
        <w:rPr>
          <w:rFonts w:ascii="宋体" w:hAnsi="宋体" w:cs="楷体_GB2312" w:hint="eastAsia" w:eastAsia="楷体_GB2312"/>
        </w:rPr>
        <w:t xml:space="preserve">日延边朝鲜族自治州第十六届人民代表大会第一次会议通过  </w:t>
      </w:r>
      <w:r>
        <w:rPr>
          <w:rFonts w:eastAsia="楷体_GB2312" w:cs="楷体_GB2312" w:hint="eastAsia" w:ascii="宋体" w:hAnsi="宋体"/>
        </w:rPr>
        <w:t>2022</w:t>
      </w:r>
      <w:r>
        <w:rPr>
          <w:rFonts w:ascii="宋体" w:hAnsi="宋体" w:cs="楷体_GB2312" w:hint="eastAsia" w:eastAsia="楷体_GB2312"/>
        </w:rPr>
        <w:t>年</w:t>
      </w:r>
      <w:r>
        <w:rPr>
          <w:rFonts w:eastAsia="楷体_GB2312" w:cs="楷体_GB2312" w:hint="eastAsia" w:ascii="宋体" w:hAnsi="宋体"/>
        </w:rPr>
        <w:t>7</w:t>
      </w:r>
      <w:r>
        <w:rPr>
          <w:rFonts w:ascii="宋体" w:hAnsi="宋体" w:cs="楷体_GB2312" w:hint="eastAsia" w:eastAsia="楷体_GB2312"/>
        </w:rPr>
        <w:t>月</w:t>
      </w:r>
      <w:r>
        <w:rPr>
          <w:rFonts w:eastAsia="楷体_GB2312" w:cs="楷体_GB2312" w:hint="eastAsia" w:ascii="宋体" w:hAnsi="宋体"/>
        </w:rPr>
        <w:t>28</w:t>
      </w:r>
      <w:r>
        <w:rPr>
          <w:rFonts w:ascii="宋体" w:hAnsi="宋体" w:cs="楷体_GB2312" w:hint="eastAsia" w:eastAsia="楷体_GB2312"/>
        </w:rPr>
        <w:t xml:space="preserve">日吉林省第十三届人民代表大会常务委员会第三十五次会议批准修订  </w:t>
      </w:r>
      <w:r>
        <w:rPr>
          <w:rFonts w:eastAsia="楷体_GB2312" w:cs="楷体_GB2312" w:hint="eastAsia" w:ascii="宋体" w:hAnsi="宋体"/>
        </w:rPr>
        <w:t>2022</w:t>
      </w:r>
      <w:r>
        <w:rPr>
          <w:rFonts w:ascii="宋体" w:hAnsi="宋体" w:cs="楷体_GB2312" w:hint="eastAsia" w:eastAsia="楷体_GB2312"/>
        </w:rPr>
        <w:t>年</w:t>
      </w:r>
      <w:r>
        <w:rPr>
          <w:rFonts w:eastAsia="楷体_GB2312" w:cs="楷体_GB2312" w:hint="eastAsia" w:ascii="宋体" w:hAnsi="宋体"/>
        </w:rPr>
        <w:t>9</w:t>
      </w:r>
      <w:r>
        <w:rPr>
          <w:rFonts w:ascii="宋体" w:hAnsi="宋体" w:cs="楷体_GB2312" w:hint="eastAsia" w:eastAsia="楷体_GB2312"/>
        </w:rPr>
        <w:t>月</w:t>
      </w:r>
      <w:r>
        <w:rPr>
          <w:rFonts w:eastAsia="楷体_GB2312" w:cs="楷体_GB2312" w:hint="eastAsia" w:ascii="宋体" w:hAnsi="宋体"/>
        </w:rPr>
        <w:t>1</w:t>
      </w:r>
      <w:r>
        <w:rPr>
          <w:rFonts w:ascii="宋体" w:hAnsi="宋体" w:cs="楷体_GB2312" w:hint="eastAsia" w:eastAsia="楷体_GB2312"/>
        </w:rPr>
        <w:t>日公布施行）</w:t>
      </w:r>
    </w:p>
    <w:p>
      <w:pPr>
        <w:pStyle w:val="Normal"/>
        <w:spacing w:lineRule="exact" w:line="592"/>
        <w:ind w:firstLineChars="200" w:startChars="0" w:start="0" w:endChars="0" w:end="0"/>
        <w:rPr>
          <w:rFonts w:ascii="宋体" w:hAnsi="宋体" w:eastAsia="黑体" w:cs="黑体" w:hint="eastAsia"/>
        </w:rPr>
      </w:pPr>
      <w:r>
        <w:rPr>
          <w:rFonts w:eastAsia="黑体" w:cs="黑体" w:hint="eastAsia" w:ascii="宋体" w:hAnsi="宋体"/>
        </w:rPr>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第一条</w:t>
      </w:r>
      <w:r>
        <w:rPr>
          <w:rFonts w:ascii="宋体" w:hAnsi="宋体" w:cs="宋体"/>
        </w:rPr>
        <w:t xml:space="preserve"> </w:t>
      </w:r>
      <w:r>
        <w:rPr>
          <w:rFonts w:ascii="宋体" w:hAnsi="宋体" w:cs="宋体" w:hint="eastAsia"/>
        </w:rPr>
        <w:t>为了规范人参生产经营秩序，保障人参及其产品质量安全，维护人参生产经营者的合法权益，保护和合理利用人参资源，促进人参产业健康、可持续发展，根据有关法律法规，结合自治州实际，制定本条例。</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第二条</w:t>
      </w:r>
      <w:r>
        <w:rPr>
          <w:rFonts w:ascii="宋体" w:hAnsi="宋体" w:cs="宋体"/>
        </w:rPr>
        <w:t xml:space="preserve"> </w:t>
      </w:r>
      <w:r>
        <w:rPr>
          <w:rFonts w:ascii="宋体" w:hAnsi="宋体" w:cs="宋体" w:hint="eastAsia"/>
        </w:rPr>
        <w:t>本条例所称人参，是指五加科人参属植物中的人参和西洋参，包括根、茎、叶、花、果实和种子、种苗。</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第三条</w:t>
      </w:r>
      <w:r>
        <w:rPr>
          <w:rFonts w:ascii="宋体" w:hAnsi="宋体" w:cs="宋体"/>
        </w:rPr>
        <w:t xml:space="preserve"> </w:t>
      </w:r>
      <w:r>
        <w:rPr>
          <w:rFonts w:ascii="宋体" w:hAnsi="宋体" w:cs="宋体" w:hint="eastAsia"/>
        </w:rPr>
        <w:t>人参用于食品、保健食品、药品和日化产品加工的，应当同时符合相关法律法规的规定。</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第四条</w:t>
      </w:r>
      <w:r>
        <w:rPr>
          <w:rFonts w:ascii="宋体" w:hAnsi="宋体" w:cs="宋体"/>
        </w:rPr>
        <w:t xml:space="preserve"> </w:t>
      </w:r>
      <w:r>
        <w:rPr>
          <w:rFonts w:ascii="宋体" w:hAnsi="宋体" w:cs="宋体" w:hint="eastAsia"/>
        </w:rPr>
        <w:t>在自治州行政区域内从事人参种植、加工、经营、检验、鉴定及其监督管理等活动，应当遵守本条例。</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w:t>
      </w:r>
      <w:r>
        <w:rPr>
          <w:rFonts w:ascii="宋体" w:hAnsi="宋体" w:cs="黑体" w:hint="eastAsia" w:eastAsia="黑体"/>
          <w:spacing w:val="4"/>
        </w:rPr>
        <w:t>五条</w:t>
      </w:r>
      <w:r>
        <w:rPr>
          <w:rFonts w:ascii="宋体" w:hAnsi="宋体" w:cs="宋体"/>
          <w:spacing w:val="4"/>
        </w:rPr>
        <w:t xml:space="preserve"> </w:t>
      </w:r>
      <w:r>
        <w:rPr>
          <w:rFonts w:ascii="宋体" w:hAnsi="宋体" w:cs="宋体" w:hint="eastAsia"/>
          <w:spacing w:val="4"/>
        </w:rPr>
        <w:t>州人民政府农业农村主管部门负责本条例的组织实施。</w:t>
      </w:r>
    </w:p>
    <w:p>
      <w:pPr>
        <w:pStyle w:val="Normal"/>
        <w:spacing w:lineRule="exact" w:line="592"/>
        <w:ind w:firstLineChars="200" w:startChars="0" w:start="0" w:endChars="0" w:end="0"/>
        <w:rPr>
          <w:rFonts w:ascii="宋体" w:hAnsi="宋体" w:eastAsia="宋体" w:cs="宋体"/>
        </w:rPr>
      </w:pPr>
      <w:r>
        <w:rPr>
          <w:rFonts w:ascii="宋体" w:hAnsi="宋体" w:cs="宋体" w:hint="eastAsia"/>
        </w:rPr>
        <w:t>县（市）人民政府农业农村主管部门负责本行政区域内的人参产业发展管理工作。</w:t>
      </w:r>
    </w:p>
    <w:p>
      <w:pPr>
        <w:pStyle w:val="Normal"/>
        <w:spacing w:lineRule="exact" w:line="592"/>
        <w:ind w:firstLineChars="200" w:startChars="0" w:start="0" w:endChars="0" w:end="0"/>
        <w:rPr>
          <w:rFonts w:ascii="宋体" w:hAnsi="宋体" w:eastAsia="宋体" w:cs="宋体"/>
        </w:rPr>
      </w:pPr>
      <w:r>
        <w:rPr>
          <w:rFonts w:ascii="宋体" w:hAnsi="宋体" w:cs="宋体" w:hint="eastAsia"/>
        </w:rPr>
        <w:t>州、县（市）人民政府发展改革、工业和信息化、财政、林草、市场监督、科技、卫生健康、生态环境、自然资源、水利等相关部门按照各自职责做好人参产业发展工作。</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第六条</w:t>
      </w:r>
      <w:r>
        <w:rPr>
          <w:rFonts w:ascii="宋体" w:hAnsi="宋体" w:cs="宋体"/>
        </w:rPr>
        <w:t xml:space="preserve"> </w:t>
      </w:r>
      <w:r>
        <w:rPr>
          <w:rFonts w:ascii="宋体" w:hAnsi="宋体" w:cs="宋体" w:hint="eastAsia"/>
        </w:rPr>
        <w:t>州人民政府通过财政支持和金融、科技、人才扶持以及产业政策引导，促进人参产业发展。</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第七条</w:t>
      </w:r>
      <w:r>
        <w:rPr>
          <w:rFonts w:ascii="宋体" w:hAnsi="宋体" w:cs="宋体"/>
        </w:rPr>
        <w:t xml:space="preserve"> </w:t>
      </w:r>
      <w:r>
        <w:rPr>
          <w:rFonts w:ascii="宋体" w:hAnsi="宋体" w:cs="宋体" w:hint="eastAsia"/>
        </w:rPr>
        <w:t>州人民政府应当坚持生态环境保护、资源合理配置和产业结构优化的原则，制定全州人参产业发展规划，并将其纳入国民经济和社会发展规划。</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第八条</w:t>
      </w:r>
      <w:r>
        <w:rPr>
          <w:rFonts w:ascii="宋体" w:hAnsi="宋体" w:cs="宋体"/>
        </w:rPr>
        <w:t xml:space="preserve"> </w:t>
      </w:r>
      <w:r>
        <w:rPr>
          <w:rFonts w:ascii="宋体" w:hAnsi="宋体" w:cs="宋体" w:hint="eastAsia"/>
        </w:rPr>
        <w:t>州人民政府农业农村主管部门根据全州人参产业发展规划，制定全州人参种植区域与规模、产业结构与布局、市场规划与建设等方案，经州人民政府同意后组织实施。</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第九条</w:t>
      </w:r>
      <w:r>
        <w:rPr>
          <w:rFonts w:ascii="宋体" w:hAnsi="宋体" w:cs="宋体"/>
        </w:rPr>
        <w:t xml:space="preserve"> </w:t>
      </w:r>
      <w:r>
        <w:rPr>
          <w:rFonts w:ascii="宋体" w:hAnsi="宋体" w:cs="宋体" w:hint="eastAsia"/>
        </w:rPr>
        <w:t>州人民政府应当制定相关措施，科学调整优化人参种植业结构，鼓励和支持建设人参标准化种植示范园区，推进林下参和非林地种植人参规范化技术的试验、示范和推广。</w:t>
      </w:r>
    </w:p>
    <w:p>
      <w:pPr>
        <w:pStyle w:val="Normal"/>
        <w:spacing w:lineRule="exact" w:line="592"/>
        <w:ind w:firstLineChars="200" w:startChars="0" w:start="0" w:endChars="0" w:end="0"/>
        <w:rPr>
          <w:rFonts w:ascii="宋体" w:hAnsi="宋体" w:eastAsia="宋体" w:cs="宋体"/>
          <w:spacing w:val="6"/>
        </w:rPr>
      </w:pPr>
      <w:r>
        <w:rPr>
          <w:rFonts w:ascii="宋体" w:hAnsi="宋体" w:cs="黑体" w:hint="eastAsia" w:eastAsia="黑体"/>
        </w:rPr>
        <w:t>第</w:t>
      </w:r>
      <w:r>
        <w:rPr>
          <w:rFonts w:ascii="宋体" w:hAnsi="宋体" w:cs="黑体" w:hint="eastAsia" w:eastAsia="黑体"/>
          <w:spacing w:val="4"/>
        </w:rPr>
        <w:t>十条</w:t>
      </w:r>
      <w:r>
        <w:rPr>
          <w:rFonts w:ascii="宋体" w:hAnsi="宋体" w:cs="宋体"/>
          <w:spacing w:val="4"/>
        </w:rPr>
        <w:t xml:space="preserve"> </w:t>
      </w:r>
      <w:r>
        <w:rPr>
          <w:rFonts w:ascii="宋体" w:hAnsi="宋体" w:cs="宋体" w:hint="eastAsia"/>
          <w:spacing w:val="4"/>
        </w:rPr>
        <w:t>州人民政府根据全州人参资源状况划定人参种植重点发展区域，依托人参种植重点发展区域，扶持培育大型人参企业和人参产业集群，规划建设人参产品研发和精深加工产业园区。</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第十一条</w:t>
      </w:r>
      <w:r>
        <w:rPr>
          <w:rFonts w:ascii="宋体" w:hAnsi="宋体" w:cs="宋体"/>
        </w:rPr>
        <w:t xml:space="preserve"> </w:t>
      </w:r>
      <w:r>
        <w:rPr>
          <w:rFonts w:ascii="宋体" w:hAnsi="宋体" w:cs="宋体" w:hint="eastAsia"/>
        </w:rPr>
        <w:t>州人民政府应当遵循市场规律，根据人参产业发展需要，规划建设人参专业市场和人参贸易集散中心。</w:t>
      </w:r>
    </w:p>
    <w:p>
      <w:pPr>
        <w:pStyle w:val="Normal"/>
        <w:spacing w:lineRule="exact" w:line="592"/>
        <w:ind w:firstLineChars="200" w:startChars="0" w:start="0" w:endChars="0" w:end="0"/>
        <w:rPr>
          <w:rFonts w:ascii="宋体" w:hAnsi="宋体" w:eastAsia="宋体" w:cs="宋体"/>
        </w:rPr>
      </w:pPr>
      <w:r>
        <w:rPr>
          <w:rFonts w:ascii="宋体" w:hAnsi="宋体" w:cs="宋体" w:hint="eastAsia"/>
        </w:rPr>
        <w:t>州、县（市）人民政府鼓励和支持食品经营、医疗健康、美容养生、观光旅游和长白山文化等相结合的人参产品销售市场的建设和发展。</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第十二条</w:t>
      </w:r>
      <w:r>
        <w:rPr>
          <w:rFonts w:ascii="宋体" w:hAnsi="宋体" w:cs="宋体"/>
        </w:rPr>
        <w:t xml:space="preserve"> </w:t>
      </w:r>
      <w:r>
        <w:rPr>
          <w:rFonts w:ascii="宋体" w:hAnsi="宋体" w:cs="宋体" w:hint="eastAsia"/>
        </w:rPr>
        <w:t>人参种植用地的土壤、水源和大气等环境，应当符合人参标准化种植规程规定的人参种植标准和要求，建立人参标准化生产制度。不得种植农残、重金属等各项指标不符合国家和省产品质量安全标准的人参。</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第十三条</w:t>
      </w:r>
      <w:r>
        <w:rPr>
          <w:rFonts w:ascii="宋体" w:hAnsi="宋体" w:cs="宋体"/>
        </w:rPr>
        <w:t xml:space="preserve"> </w:t>
      </w:r>
      <w:r>
        <w:rPr>
          <w:rFonts w:ascii="宋体" w:hAnsi="宋体" w:cs="宋体" w:hint="eastAsia"/>
        </w:rPr>
        <w:t>人参种植应当遵守人参标准化种植技术相关标准，建立人参种植档案。</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第十四条</w:t>
      </w:r>
      <w:r>
        <w:rPr>
          <w:rFonts w:ascii="宋体" w:hAnsi="宋体" w:cs="宋体"/>
        </w:rPr>
        <w:t xml:space="preserve"> </w:t>
      </w:r>
      <w:r>
        <w:rPr>
          <w:rFonts w:ascii="宋体" w:hAnsi="宋体" w:cs="宋体" w:hint="eastAsia"/>
        </w:rPr>
        <w:t>利用非林地种植人参应当按照产业健康发展的需要，科学规划种植规模，合理开发利用土地资源。</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第十五条</w:t>
      </w:r>
      <w:r>
        <w:rPr>
          <w:rFonts w:ascii="宋体" w:hAnsi="宋体" w:cs="宋体"/>
        </w:rPr>
        <w:t xml:space="preserve"> </w:t>
      </w:r>
      <w:r>
        <w:rPr>
          <w:rFonts w:ascii="宋体" w:hAnsi="宋体" w:cs="宋体" w:hint="eastAsia"/>
        </w:rPr>
        <w:t>州人民政府应当依托科研单位建立人参良种繁育、选育基地，培育高产、适应性强的优良品种。</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第十六条</w:t>
      </w:r>
      <w:r>
        <w:rPr>
          <w:rFonts w:ascii="宋体" w:hAnsi="宋体" w:cs="宋体"/>
        </w:rPr>
        <w:t xml:space="preserve"> </w:t>
      </w:r>
      <w:r>
        <w:rPr>
          <w:rFonts w:ascii="宋体" w:hAnsi="宋体" w:cs="宋体" w:hint="eastAsia"/>
        </w:rPr>
        <w:t>州人民政府鼓励和支持单位和个人以人参作为原料加工食品、保健食品、药品和日化产品。</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第十七条</w:t>
      </w:r>
      <w:r>
        <w:rPr>
          <w:rFonts w:ascii="宋体" w:hAnsi="宋体" w:cs="宋体"/>
        </w:rPr>
        <w:t xml:space="preserve"> </w:t>
      </w:r>
      <w:r>
        <w:rPr>
          <w:rFonts w:ascii="宋体" w:hAnsi="宋体" w:cs="宋体" w:hint="eastAsia"/>
        </w:rPr>
        <w:t>用于产品加工的人参，应当符合下列人参生长年限的要求</w:t>
      </w:r>
      <w:r>
        <w:rPr>
          <w:rFonts w:ascii="宋体" w:hAnsi="宋体" w:cs="宋体"/>
        </w:rPr>
        <w:t>：</w:t>
      </w:r>
    </w:p>
    <w:p>
      <w:pPr>
        <w:pStyle w:val="Normal"/>
        <w:spacing w:lineRule="exact" w:line="592"/>
        <w:ind w:firstLineChars="200" w:startChars="0" w:start="0" w:endChars="0" w:end="0"/>
        <w:rPr>
          <w:rFonts w:ascii="宋体" w:hAnsi="宋体" w:eastAsia="宋体" w:cs="宋体"/>
        </w:rPr>
      </w:pPr>
      <w:r>
        <w:rPr>
          <w:rFonts w:ascii="宋体" w:hAnsi="宋体" w:cs="宋体" w:hint="eastAsia"/>
        </w:rPr>
        <w:t>（一）加工生晒参、大力参、保鲜参的人参生长年限为四年及四年以上；</w:t>
      </w:r>
    </w:p>
    <w:p>
      <w:pPr>
        <w:pStyle w:val="Normal"/>
        <w:spacing w:lineRule="exact" w:line="592"/>
        <w:ind w:firstLineChars="200" w:startChars="0" w:start="0" w:endChars="0" w:end="0"/>
        <w:rPr>
          <w:rFonts w:ascii="宋体" w:hAnsi="宋体" w:eastAsia="宋体" w:cs="宋体"/>
        </w:rPr>
      </w:pPr>
      <w:r>
        <w:rPr>
          <w:rFonts w:ascii="宋体" w:hAnsi="宋体" w:cs="宋体" w:hint="eastAsia"/>
        </w:rPr>
        <w:t>（二）加工红参的人参生长年限为五年及五年以上；</w:t>
      </w:r>
    </w:p>
    <w:p>
      <w:pPr>
        <w:pStyle w:val="Normal"/>
        <w:spacing w:lineRule="exact" w:line="592"/>
        <w:ind w:firstLineChars="200" w:startChars="0" w:start="0" w:endChars="0" w:end="0"/>
        <w:rPr>
          <w:rFonts w:ascii="宋体" w:hAnsi="宋体" w:eastAsia="宋体" w:cs="宋体"/>
        </w:rPr>
      </w:pPr>
      <w:r>
        <w:rPr>
          <w:rFonts w:ascii="宋体" w:hAnsi="宋体" w:cs="宋体" w:hint="eastAsia"/>
        </w:rPr>
        <w:t>（三）用于其他产品加工的人参生长年限，应当符合其产品标准及相关规定。</w:t>
      </w:r>
    </w:p>
    <w:p>
      <w:pPr>
        <w:pStyle w:val="Normal"/>
        <w:spacing w:lineRule="exact" w:line="592"/>
        <w:ind w:firstLineChars="200" w:startChars="0" w:start="0" w:endChars="0" w:end="0"/>
        <w:rPr>
          <w:rFonts w:ascii="宋体" w:hAnsi="宋体" w:eastAsia="宋体" w:cs="宋体"/>
        </w:rPr>
      </w:pPr>
      <w:r>
        <w:rPr>
          <w:rFonts w:ascii="宋体" w:hAnsi="宋体" w:cs="宋体" w:hint="eastAsia"/>
        </w:rPr>
        <w:t>用于食品原料的人参应当为人工种植五年及五年以下，五加科人参属的根及根茎。</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第十八条</w:t>
      </w:r>
      <w:r>
        <w:rPr>
          <w:rFonts w:ascii="宋体" w:hAnsi="宋体" w:cs="宋体"/>
        </w:rPr>
        <w:t xml:space="preserve"> </w:t>
      </w:r>
      <w:r>
        <w:rPr>
          <w:rFonts w:ascii="宋体" w:hAnsi="宋体" w:cs="宋体" w:hint="eastAsia"/>
        </w:rPr>
        <w:t>从事人参加工的企业和其他经济组织所生产的产品，应当符合国家和省人参产品质量安全标准，保证质量安全。人参加工应当实行质量追溯制度。</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第十九条</w:t>
      </w:r>
      <w:r>
        <w:rPr>
          <w:rFonts w:ascii="宋体" w:hAnsi="宋体" w:cs="宋体"/>
        </w:rPr>
        <w:t xml:space="preserve"> </w:t>
      </w:r>
      <w:r>
        <w:rPr>
          <w:rFonts w:ascii="宋体" w:hAnsi="宋体" w:cs="宋体" w:hint="eastAsia"/>
        </w:rPr>
        <w:t>州人民政府重点推进人参产业园区建设，建立健全完善的标准化体系，鼓励和扶持中小企业向人参产业园区集聚，加快培育和发展高科技企业，完善产业配套，加大对人参深加工技术、设备研发的支持力度，提高人参产品附加值和产业竞争力。</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第二十条</w:t>
      </w:r>
      <w:r>
        <w:rPr>
          <w:rFonts w:ascii="宋体" w:hAnsi="宋体" w:cs="宋体"/>
        </w:rPr>
        <w:t xml:space="preserve"> </w:t>
      </w:r>
      <w:r>
        <w:rPr>
          <w:rFonts w:ascii="宋体" w:hAnsi="宋体" w:cs="宋体" w:hint="eastAsia"/>
        </w:rPr>
        <w:t>人参加工企业和其他经济组织应当制定人参加工质量安全管理制度，建立人参加工产品质量档案，保障人参加工产品的质量安全。</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第二十一条</w:t>
      </w:r>
      <w:r>
        <w:rPr>
          <w:rFonts w:ascii="宋体" w:hAnsi="宋体" w:cs="宋体"/>
        </w:rPr>
        <w:t xml:space="preserve"> </w:t>
      </w:r>
      <w:r>
        <w:rPr>
          <w:rFonts w:ascii="宋体" w:hAnsi="宋体" w:cs="宋体" w:hint="eastAsia"/>
        </w:rPr>
        <w:t>州、县（市）人民政府应当设立人参产业发展专项资金用于种植技术研究与推广、品种选育、新产品开发、工艺升级、设备制造研发、品牌建设、质量安全监测、市场体系建设和文化宣传，并为政策性融资担保机构提供风险补偿。</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第二十二条</w:t>
      </w:r>
      <w:r>
        <w:rPr>
          <w:rFonts w:ascii="宋体" w:hAnsi="宋体" w:cs="宋体"/>
        </w:rPr>
        <w:t xml:space="preserve"> </w:t>
      </w:r>
      <w:r>
        <w:rPr>
          <w:rFonts w:ascii="宋体" w:hAnsi="宋体" w:cs="宋体" w:hint="eastAsia"/>
        </w:rPr>
        <w:t>州、县（市）人民政府应当为人参加工企业和其他经济组织与国内外大专院校搭建技术合作平台。鼓励和支持科研机构、院校、企业和个人研发推广新技术、新工艺和新设备。</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第二十三条</w:t>
      </w:r>
      <w:r>
        <w:rPr>
          <w:rFonts w:ascii="宋体" w:hAnsi="宋体" w:cs="宋体"/>
        </w:rPr>
        <w:t xml:space="preserve"> </w:t>
      </w:r>
      <w:r>
        <w:rPr>
          <w:rFonts w:ascii="宋体" w:hAnsi="宋体" w:cs="宋体" w:hint="eastAsia"/>
        </w:rPr>
        <w:t>鼓励金融机构、地方金融组织根据市场需求，对人参产业发展给予重点支持。政策性融资担保机构应当为符合条件的人参产业经营主体提供贷款担保。州、县（市）人民政府财政部门要对保险进行配套，推进人参政策保险实施。</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第二十四条</w:t>
      </w:r>
      <w:r>
        <w:rPr>
          <w:rFonts w:ascii="宋体" w:hAnsi="宋体" w:cs="宋体"/>
        </w:rPr>
        <w:t xml:space="preserve"> </w:t>
      </w:r>
      <w:r>
        <w:rPr>
          <w:rFonts w:ascii="宋体" w:hAnsi="宋体" w:cs="宋体" w:hint="eastAsia"/>
        </w:rPr>
        <w:t>州人民政府应当根据人参及其相关产业发展格局、区位特点建设人参物流中心，搭建人参信息服务平台；支持企业发展人参电子商务，形成辐射国内外的营销网络。</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第二十五条</w:t>
      </w:r>
      <w:r>
        <w:rPr>
          <w:rFonts w:ascii="宋体" w:hAnsi="宋体" w:cs="宋体"/>
        </w:rPr>
        <w:t xml:space="preserve"> </w:t>
      </w:r>
      <w:r>
        <w:rPr>
          <w:rFonts w:ascii="宋体" w:hAnsi="宋体" w:cs="宋体" w:hint="eastAsia"/>
        </w:rPr>
        <w:t>州人民政府依据有关规定对获得人参地理标志的机构、企业或者个人，及在人参技术领域中取得重大突破的应当给予表彰奖励。</w:t>
      </w:r>
    </w:p>
    <w:p>
      <w:pPr>
        <w:pStyle w:val="Normal"/>
        <w:spacing w:lineRule="exact" w:line="592"/>
        <w:ind w:firstLineChars="200" w:startChars="0" w:start="0" w:endChars="0" w:end="0"/>
        <w:rPr>
          <w:rFonts w:ascii="宋体" w:hAnsi="宋体" w:eastAsia="宋体" w:cs="宋体"/>
        </w:rPr>
      </w:pPr>
      <w:r>
        <w:rPr>
          <w:rFonts w:ascii="宋体" w:hAnsi="宋体" w:cs="宋体" w:hint="eastAsia"/>
        </w:rPr>
        <w:t>鼓励人参产业协会打造和宣传延边人参区域公用品牌；鼓励生产符合延边人参区域品牌条件的人参及其产品，申请、使用地理专用标志。</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第二十六条</w:t>
      </w:r>
      <w:r>
        <w:rPr>
          <w:rFonts w:ascii="宋体" w:hAnsi="宋体" w:cs="宋体"/>
        </w:rPr>
        <w:t xml:space="preserve"> </w:t>
      </w:r>
      <w:r>
        <w:rPr>
          <w:rFonts w:ascii="宋体" w:hAnsi="宋体" w:cs="宋体" w:hint="eastAsia"/>
        </w:rPr>
        <w:t>州、县（市）人民政府应当注重专业技术人才引进和培养，增强人参科学技术研究、技术服务推广专业机构力量。建立人参产业发展服务平台，为从事人参种植、加工、营销的企业或者个人提供行政审批、信息交流、人员培训、科技咨询、新技术推广和成果转化等服务。</w:t>
      </w:r>
    </w:p>
    <w:p>
      <w:pPr>
        <w:pStyle w:val="Normal"/>
        <w:spacing w:lineRule="exact" w:line="592"/>
        <w:ind w:firstLineChars="200" w:startChars="0" w:start="0" w:endChars="0" w:end="0"/>
        <w:rPr>
          <w:rFonts w:ascii="宋体" w:hAnsi="宋体" w:eastAsia="宋体" w:cs="宋体"/>
        </w:rPr>
      </w:pPr>
      <w:r>
        <w:rPr>
          <w:rFonts w:ascii="宋体" w:hAnsi="宋体" w:cs="宋体" w:hint="eastAsia"/>
        </w:rPr>
        <w:t>州、县（市）人民政府应当采取措施，扶持农民专业合作经济组织和人参行业协会的发展，鼓励和支持其对成员提供技术指导和市场信息服务。</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第二十七条</w:t>
      </w:r>
      <w:r>
        <w:rPr>
          <w:rFonts w:ascii="宋体" w:hAnsi="宋体" w:cs="宋体"/>
        </w:rPr>
        <w:t xml:space="preserve"> </w:t>
      </w:r>
      <w:r>
        <w:rPr>
          <w:rFonts w:ascii="宋体" w:hAnsi="宋体" w:cs="宋体" w:hint="eastAsia"/>
        </w:rPr>
        <w:t>州、县（市）人民政府应当鼓励挖掘、收集、整理并利用新媒体宣传人参文化。</w:t>
      </w:r>
    </w:p>
    <w:p>
      <w:pPr>
        <w:pStyle w:val="Normal"/>
        <w:spacing w:lineRule="exact" w:line="592"/>
        <w:ind w:firstLineChars="200" w:startChars="0" w:start="0" w:endChars="0" w:end="0"/>
        <w:rPr>
          <w:rFonts w:ascii="宋体" w:hAnsi="宋体" w:eastAsia="宋体" w:cs="宋体"/>
        </w:rPr>
      </w:pPr>
      <w:r>
        <w:rPr>
          <w:rFonts w:ascii="宋体" w:hAnsi="宋体" w:cs="黑体" w:hint="eastAsia" w:eastAsia="黑体"/>
        </w:rPr>
        <w:t>第二十八条</w:t>
      </w:r>
      <w:r>
        <w:rPr>
          <w:rFonts w:ascii="宋体" w:hAnsi="宋体" w:cs="宋体"/>
        </w:rPr>
        <w:t xml:space="preserve"> </w:t>
      </w:r>
      <w:r>
        <w:rPr>
          <w:rFonts w:ascii="宋体" w:hAnsi="宋体" w:cs="宋体" w:hint="eastAsia"/>
        </w:rPr>
        <w:t>农业农村及其他有关行政主管部门的工作人员在促进人参产业发展过程中玩忽职守、滥用职权、徇私舞弊、行政不作为的，由其所在单位或者上一级行政主管部门给予行政处分；构成犯罪的，依法追究其刑事责任。</w:t>
      </w:r>
    </w:p>
    <w:p>
      <w:pPr>
        <w:pStyle w:val="Normal"/>
        <w:spacing w:lineRule="exact" w:line="592"/>
        <w:ind w:firstLineChars="200" w:startChars="0" w:start="0" w:endChars="0" w:end="0"/>
        <w:rPr>
          <w:rFonts w:ascii="宋体" w:hAnsi="宋体" w:eastAsia="宋体" w:cs="宋体"/>
          <w:spacing w:val="6"/>
        </w:rPr>
      </w:pPr>
      <w:r>
        <w:rPr>
          <w:rFonts w:ascii="宋体" w:hAnsi="宋体" w:cs="黑体" w:hint="eastAsia" w:eastAsia="黑体"/>
        </w:rPr>
        <w:t>第</w:t>
      </w:r>
      <w:r>
        <w:rPr>
          <w:rFonts w:ascii="宋体" w:hAnsi="宋体" w:cs="黑体" w:hint="eastAsia" w:eastAsia="黑体"/>
          <w:spacing w:val="6"/>
        </w:rPr>
        <w:t>二十九条</w:t>
      </w:r>
      <w:r>
        <w:rPr>
          <w:rFonts w:ascii="宋体" w:hAnsi="宋体" w:cs="宋体"/>
          <w:spacing w:val="6"/>
        </w:rPr>
        <w:t xml:space="preserve"> </w:t>
      </w:r>
      <w:r>
        <w:rPr>
          <w:rFonts w:ascii="宋体" w:hAnsi="宋体" w:cs="宋体" w:hint="eastAsia"/>
          <w:spacing w:val="6"/>
        </w:rPr>
        <w:t>违反本条例规定的，按照有关法律法规进行处罚。</w:t>
      </w:r>
    </w:p>
    <w:p>
      <w:pPr>
        <w:pStyle w:val="Normal"/>
        <w:spacing w:lineRule="exact" w:line="592"/>
        <w:ind w:firstLineChars="200" w:startChars="0" w:start="0" w:endChars="0" w:end="0"/>
        <w:rPr>
          <w:rFonts w:ascii="宋体" w:hAnsi="宋体" w:cs="宋体" w:hint="eastAsia"/>
        </w:rPr>
      </w:pPr>
      <w:r>
        <w:rPr>
          <w:rFonts w:ascii="宋体" w:hAnsi="宋体" w:cs="黑体" w:hint="eastAsia" w:eastAsia="黑体"/>
        </w:rPr>
        <w:t>第三十条</w:t>
      </w:r>
      <w:r>
        <w:rPr>
          <w:rFonts w:ascii="宋体" w:hAnsi="宋体" w:cs="宋体"/>
        </w:rPr>
        <w:t xml:space="preserve"> </w:t>
      </w:r>
      <w:r>
        <w:rPr>
          <w:rFonts w:ascii="宋体" w:hAnsi="宋体" w:cs="宋体" w:hint="eastAsia"/>
        </w:rPr>
        <w:t>本条例由州人民代表大会常务委员会负责解释。</w:t>
      </w:r>
    </w:p>
    <w:p>
      <w:pPr>
        <w:pStyle w:val="Normal"/>
        <w:spacing w:lineRule="exact" w:line="592"/>
        <w:ind w:firstLineChars="200" w:startChars="0" w:start="0" w:endChars="0" w:end="0"/>
        <w:rPr/>
      </w:pPr>
      <w:r>
        <w:rPr>
          <w:rFonts w:ascii="宋体" w:hAnsi="宋体" w:cs="黑体" w:hint="eastAsia" w:eastAsia="黑体"/>
        </w:rPr>
        <w:t>第三十一条</w:t>
      </w:r>
      <w:r>
        <w:rPr>
          <w:rFonts w:ascii="宋体" w:hAnsi="宋体" w:cs="宋体"/>
        </w:rPr>
        <w:t xml:space="preserve"> </w:t>
      </w:r>
      <w:r>
        <w:rPr>
          <w:rFonts w:ascii="宋体" w:hAnsi="宋体" w:cs="宋体" w:hint="eastAsia"/>
        </w:rPr>
        <w:t>本条例自公布之日起施行。</w:t>
      </w:r>
      <w:r>
        <mc:AlternateContent>
          <mc:Choice Requires="wps">
            <w:drawing>
              <wp:anchor distT="0" distB="0" distL="114935" distR="114935" simplePos="0" relativeHeight="8" behindDoc="0" locked="0" layoutInCell="1" allowOverlap="1">
                <wp:simplePos x="0" y="0"/>
                <wp:positionH relativeFrom="column">
                  <wp:posOffset>-203200</wp:posOffset>
                </wp:positionH>
                <wp:positionV relativeFrom="paragraph">
                  <wp:posOffset>8028305</wp:posOffset>
                </wp:positionV>
                <wp:extent cx="1320800" cy="792480"/>
                <wp:effectExtent l="0" t="0" r="0" b="0"/>
                <wp:wrapNone/>
                <wp:docPr id="1" name="Frame1"/>
                <a:graphic xmlns:a="http://schemas.openxmlformats.org/drawingml/2006/main">
                  <a:graphicData uri="http://schemas.microsoft.com/office/word/2010/wordprocessingShape">
                    <wps:wsp>
                      <wps:cNvSpPr txBox="1"/>
                      <wps:spPr>
                        <a:xfrm>
                          <a:off x="0" y="0"/>
                          <a:ext cx="1320800" cy="792480"/>
                        </a:xfrm>
                        <a:prstGeom prst="rect"/>
                        <a:solidFill>
                          <a:srgbClr val="FFFFFF"/>
                        </a:solidFill>
                      </wps:spPr>
                      <wps:txbx>
                        <w:txbxContent>
                          <w:p>
                            <w:pPr>
                              <w:pStyle w:val="Normal"/>
                              <w:rPr/>
                            </w:pPr>
                            <w:r>
                              <w:rPr/>
                            </w:r>
                          </w:p>
                        </w:txbxContent>
                      </wps:txbx>
                      <wps:bodyPr anchor="t" lIns="92075" tIns="46355" rIns="92075" bIns="46355">
                        <a:noAutofit/>
                      </wps:bodyPr>
                    </wps:wsp>
                  </a:graphicData>
                </a:graphic>
              </wp:anchor>
            </w:drawing>
          </mc:Choice>
          <mc:Fallback>
            <w:pict>
              <v:rect fillcolor="#FFFFFF" style="position:absolute;rotation:-0;width:104pt;height:62.4pt;mso-wrap-distance-left:9.05pt;mso-wrap-distance-right:9.05pt;mso-wrap-distance-top:0pt;mso-wrap-distance-bottom:0pt;margin-top:632.15pt;mso-position-vertical-relative:text;margin-left:-16pt;mso-position-horizontal-relative:text">
                <v:textbox inset="0.100694444444444in,0.0506944444444444in,0.100694444444444in,0.0506944444444444in">
                  <w:txbxContent>
                    <w:p>
                      <w:pPr>
                        <w:pStyle w:val="Normal"/>
                        <w:rPr/>
                      </w:pPr>
                      <w:r>
                        <w:rPr/>
                      </w:r>
                    </w:p>
                  </w:txbxContent>
                </v:textbox>
                <w10:wrap type="none"/>
              </v:rect>
            </w:pict>
          </mc:Fallback>
        </mc:AlternateContent>
      </w:r>
    </w:p>
    <w:sectPr>
      <w:footerReference w:type="default" r:id="rId2"/>
      <w:type w:val="nextPage"/>
      <w:pgSz w:w="11906" w:h="16838"/>
      <w:pgMar w:left="1531" w:right="1531" w:gutter="0" w:header="0" w:top="1871" w:footer="1588" w:bottom="1928"/>
      <w:pgNumType w:fmt="decimal"/>
      <w:formProt w:val="false"/>
      <w:textDirection w:val="lrTb"/>
      <w:docGrid w:type="default"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rightMargin">
                <wp:posOffset>-900430</wp:posOffset>
              </wp:positionH>
              <wp:positionV relativeFrom="paragraph">
                <wp:posOffset>635</wp:posOffset>
              </wp:positionV>
              <wp:extent cx="900430" cy="302260"/>
              <wp:effectExtent l="0" t="0" r="0" b="0"/>
              <wp:wrapSquare wrapText="bothSides"/>
              <wp:docPr id="2" name="Frame2"/>
              <a:graphic xmlns:a="http://schemas.openxmlformats.org/drawingml/2006/main">
                <a:graphicData uri="http://schemas.microsoft.com/office/word/2010/wordprocessingShape">
                  <wps:wsp>
                    <wps:cNvSpPr txBox="1"/>
                    <wps:spPr>
                      <a:xfrm>
                        <a:off x="0" y="0"/>
                        <a:ext cx="900430" cy="302260"/>
                      </a:xfrm>
                      <a:prstGeom prst="rect"/>
                      <a:solidFill>
                        <a:srgbClr val="FFFFFF">
                          <a:alpha val="0"/>
                        </a:srgbClr>
                      </a:solidFill>
                    </wps:spPr>
                    <wps:txbx>
                      <w:txbxContent>
                        <w:p>
                          <w:pPr>
                            <w:pStyle w:val="Footer"/>
                            <w:jc w:val="center"/>
                            <w:rPr>
                              <w:rStyle w:val="PageNumber"/>
                              <w:rFonts w:ascii="宋体" w:hAnsi="宋体" w:cs="宋体" w:hint="eastAsia"/>
                              <w:sz w:val="28"/>
                            </w:rPr>
                          </w:pPr>
                          <w:r>
                            <w:rPr>
                              <w:rStyle w:val="PageNumber"/>
                              <w:rFonts w:cs="宋体" w:hint="eastAsia" w:ascii="宋体" w:hAnsi="宋体"/>
                              <w:sz w:val="28"/>
                            </w:rPr>
                            <w:t xml:space="preserve">─ </w:t>
                          </w:r>
                          <w:r>
                            <w:rPr>
                              <w:rFonts w:cs="宋体" w:ascii="宋体" w:hAnsi="宋体"/>
                              <w:sz w:val="28"/>
                            </w:rPr>
                            <w:fldChar w:fldCharType="begin"/>
                          </w:r>
                          <w:r>
                            <w:rPr>
                              <w:rFonts w:cs="宋体" w:ascii="宋体" w:hAnsi="宋体"/>
                              <w:sz w:val="28"/>
                            </w:rPr>
                            <w:instrText xml:space="preserve"> PAGE </w:instrText>
                          </w:r>
                          <w:r>
                            <w:rPr>
                              <w:rFonts w:cs="宋体" w:ascii="宋体" w:hAnsi="宋体"/>
                              <w:sz w:val="28"/>
                            </w:rPr>
                            <w:fldChar w:fldCharType="separate"/>
                          </w:r>
                          <w:r>
                            <w:rPr>
                              <w:rFonts w:cs="宋体" w:ascii="宋体" w:hAnsi="宋体"/>
                              <w:sz w:val="28"/>
                            </w:rPr>
                            <w:t>6</w:t>
                          </w:r>
                          <w:r>
                            <w:rPr>
                              <w:rFonts w:cs="宋体" w:ascii="宋体" w:hAnsi="宋体"/>
                              <w:sz w:val="28"/>
                            </w:rPr>
                            <w:fldChar w:fldCharType="end"/>
                          </w:r>
                          <w:r>
                            <w:rPr>
                              <w:rStyle w:val="PageNumber"/>
                              <w:rFonts w:cs="宋体" w:hint="eastAsia" w:ascii="宋体" w:hAnsi="宋体"/>
                              <w:sz w:val="28"/>
                            </w:rPr>
                            <w:t xml:space="preserve"> ─</w:t>
                          </w:r>
                        </w:p>
                      </w:txbxContent>
                    </wps:txbx>
                    <wps:bodyPr anchor="t" lIns="0" tIns="0" rIns="0" bIns="0">
                      <a:noAutofit/>
                    </wps:bodyPr>
                  </wps:wsp>
                </a:graphicData>
              </a:graphic>
            </wp:anchor>
          </w:drawing>
        </mc:Choice>
        <mc:Fallback>
          <w:pict>
            <v:rect fillcolor="#FFFFFF" style="position:absolute;rotation:-0;width:70.9pt;height:23.8pt;mso-wrap-distance-left:0pt;mso-wrap-distance-right:0pt;mso-wrap-distance-top:0pt;mso-wrap-distance-bottom:0pt;margin-top:0.05pt;mso-position-vertical-relative:text;margin-left:-70.9pt;mso-position-horizontal-relative:text">
              <v:fill opacity="0f"/>
              <v:textbox inset="0in,0in,0in,0in">
                <w:txbxContent>
                  <w:p>
                    <w:pPr>
                      <w:pStyle w:val="Footer"/>
                      <w:jc w:val="center"/>
                      <w:rPr>
                        <w:rStyle w:val="PageNumber"/>
                        <w:rFonts w:ascii="宋体" w:hAnsi="宋体" w:cs="宋体" w:hint="eastAsia"/>
                        <w:sz w:val="28"/>
                      </w:rPr>
                    </w:pPr>
                    <w:r>
                      <w:rPr>
                        <w:rStyle w:val="PageNumber"/>
                        <w:rFonts w:cs="宋体" w:hint="eastAsia" w:ascii="宋体" w:hAnsi="宋体"/>
                        <w:sz w:val="28"/>
                      </w:rPr>
                      <w:t xml:space="preserve">─ </w:t>
                    </w:r>
                    <w:r>
                      <w:rPr>
                        <w:rFonts w:cs="宋体" w:ascii="宋体" w:hAnsi="宋体"/>
                        <w:sz w:val="28"/>
                      </w:rPr>
                      <w:fldChar w:fldCharType="begin"/>
                    </w:r>
                    <w:r>
                      <w:rPr>
                        <w:rFonts w:cs="宋体" w:ascii="宋体" w:hAnsi="宋体"/>
                        <w:sz w:val="28"/>
                      </w:rPr>
                      <w:instrText xml:space="preserve"> PAGE </w:instrText>
                    </w:r>
                    <w:r>
                      <w:rPr>
                        <w:rFonts w:cs="宋体" w:ascii="宋体" w:hAnsi="宋体"/>
                        <w:sz w:val="28"/>
                      </w:rPr>
                      <w:fldChar w:fldCharType="separate"/>
                    </w:r>
                    <w:r>
                      <w:rPr>
                        <w:rFonts w:cs="宋体" w:ascii="宋体" w:hAnsi="宋体"/>
                        <w:sz w:val="28"/>
                      </w:rPr>
                      <w:t>6</w:t>
                    </w:r>
                    <w:r>
                      <w:rPr>
                        <w:rFonts w:cs="宋体" w:ascii="宋体" w:hAnsi="宋体"/>
                        <w:sz w:val="28"/>
                      </w:rPr>
                      <w:fldChar w:fldCharType="end"/>
                    </w:r>
                    <w:r>
                      <w:rPr>
                        <w:rStyle w:val="PageNumber"/>
                        <w:rFonts w:cs="宋体" w:hint="eastAsia" w:ascii="宋体" w:hAnsi="宋体"/>
                        <w:sz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OTBlYmYwMjFiYTk5ZTY4ZDNiZDUxNjNhYzk3ODYyMW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
    <w:qFormat/>
    <w:pPr>
      <w:widowControl w:val="false"/>
      <w:bidi w:val="0"/>
      <w:jc w:val="both"/>
    </w:pPr>
    <w:rPr>
      <w:rFonts w:ascii="Calibri" w:hAnsi="Calibri"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0" w:firstLine="0" w:startChars="200" w:endChars="0" w:end="0"/>
    </w:pPr>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lllllll</cp:lastModifiedBy>
  <cp:lastPrinted>2022-08-25T15:41:00Z</cp:lastPrinted>
  <dcterms:modified xsi:type="dcterms:W3CDTF">2022-09-01T13:43:59Z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539D4575CED841B2A7BA67A70598C7BD</vt:lpwstr>
  </property>
  <property fmtid="{D5CDD505-2E9C-101B-9397-08002B2CF9AE}" pid="3" name="KSOProductBuildVer">
    <vt:lpwstr>2052-11.1.0.12313</vt:lpwstr>
  </property>
</Properties>
</file>