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;SimSun" w:hAnsi="宋体;SimSun" w:cs="宋体;SimSun" w:hint="eastAsia"/>
          <w:bCs/>
          <w:sz w:val="32"/>
          <w:szCs w:val="32"/>
        </w:rPr>
      </w:pPr>
      <w:r>
        <w:rPr>
          <w:rFonts w:cs="宋体;SimSun" w:hint="eastAsia" w:ascii="宋体;SimSun" w:hAnsi="宋体;SimSun"/>
          <w:bCs/>
          <w:sz w:val="32"/>
          <w:szCs w:val="32"/>
        </w:rPr>
      </w:r>
    </w:p>
    <w:p>
      <w:pPr>
        <w:pStyle w:val="Normal"/>
        <w:jc w:val="center"/>
        <w:rPr>
          <w:rFonts w:ascii="宋体;SimSun" w:hAnsi="宋体;SimSun" w:cs="宋体;SimSun" w:hint="eastAsia"/>
          <w:bCs/>
          <w:sz w:val="32"/>
          <w:szCs w:val="32"/>
        </w:rPr>
      </w:pPr>
      <w:r>
        <w:rPr>
          <w:rFonts w:cs="宋体;SimSun" w:hint="eastAsia" w:ascii="宋体;SimSun" w:hAnsi="宋体;SimSun"/>
          <w:bCs/>
          <w:sz w:val="32"/>
          <w:szCs w:val="32"/>
        </w:rPr>
      </w:r>
    </w:p>
    <w:p>
      <w:pPr>
        <w:pStyle w:val="Normal"/>
        <w:jc w:val="center"/>
        <w:rPr>
          <w:rFonts w:ascii="宋体;SimSun" w:hAnsi="宋体;SimSun" w:cs="宋体;SimSun"/>
          <w:bCs/>
          <w:sz w:val="44"/>
          <w:szCs w:val="44"/>
        </w:rPr>
      </w:pPr>
      <w:r>
        <w:rPr>
          <w:rFonts w:ascii="宋体;SimSun" w:hAnsi="宋体;SimSun" w:cs="宋体;SimSun" w:hint="eastAsia"/>
          <w:bCs/>
          <w:sz w:val="44"/>
          <w:szCs w:val="44"/>
        </w:rPr>
        <w:t>前郭尔罗斯蒙古族自治县矿产资源管理条例</w:t>
      </w:r>
    </w:p>
    <w:p>
      <w:pPr>
        <w:pStyle w:val="Normal"/>
        <w:spacing w:lineRule="exact" w:line="530"/>
        <w:jc w:val="center"/>
        <w:rPr>
          <w:rFonts w:ascii="宋体;SimSun" w:hAnsi="宋体;SimSun" w:cs="宋体;SimSun" w:hint="eastAsia"/>
          <w:bCs/>
          <w:sz w:val="32"/>
          <w:szCs w:val="32"/>
        </w:rPr>
      </w:pPr>
      <w:r>
        <w:rPr>
          <w:rFonts w:cs="宋体;SimSun" w:hint="eastAsia" w:ascii="宋体;SimSun" w:hAnsi="宋体;SimSun"/>
          <w:bCs/>
          <w:sz w:val="32"/>
          <w:szCs w:val="32"/>
        </w:rPr>
      </w:r>
    </w:p>
    <w:p>
      <w:pPr>
        <w:pStyle w:val="Normal"/>
        <w:ind w:firstLineChars="200" w:startChars="0" w:start="0" w:endChars="0" w:end="0"/>
        <w:rPr>
          <w:rFonts w:ascii="楷体_GB2312;微软雅黑" w:hAnsi="楷体_GB2312;微软雅黑" w:eastAsia="楷体_GB2312;微软雅黑" w:cs="楷体_GB2312;微软雅黑" w:hint="eastAsia"/>
          <w:sz w:val="32"/>
          <w:szCs w:val="32"/>
        </w:rPr>
      </w:pP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(2013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年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12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月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28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日前郭尔罗斯蒙古族自治县第十七届人民代表大会第三次会议通过，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2014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年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11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月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28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日吉林省第十二届人民代表大会常务委员会第十三次会议批准，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2014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年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11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月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28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日公布，自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2014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年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12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月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1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日起施行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)</w:t>
      </w:r>
    </w:p>
    <w:p>
      <w:pPr>
        <w:pStyle w:val="Normal"/>
        <w:ind w:firstLineChars="200" w:startChars="0" w:start="0" w:endChars="0" w:end="0"/>
        <w:rPr>
          <w:rFonts w:ascii="宋体;SimSun" w:hAnsi="宋体;SimSun" w:eastAsia="楷体_GB2312;微软雅黑" w:cs="宋体;SimSun" w:hint="eastAsia"/>
          <w:sz w:val="32"/>
          <w:szCs w:val="32"/>
        </w:rPr>
      </w:pPr>
      <w:r>
        <w:rPr>
          <w:rFonts w:eastAsia="楷体_GB2312;微软雅黑" w:cs="宋体;SimSun" w:hint="eastAsia" w:ascii="宋体;SimSun" w:hAnsi="宋体;SimSun"/>
          <w:sz w:val="32"/>
          <w:szCs w:val="32"/>
        </w:rPr>
      </w:r>
    </w:p>
    <w:p>
      <w:pPr>
        <w:pStyle w:val="Normal"/>
        <w:ind w:firstLineChars="196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第一条</w:t>
      </w:r>
      <w:r>
        <w:rPr>
          <w:rFonts w:ascii="仿宋_GB2312;微软雅黑" w:hAnsi="仿宋_GB2312;微软雅黑" w:hint="eastAsia" w:eastAsia="仿宋_GB2312;微软雅黑"/>
          <w:b/>
          <w:sz w:val="32"/>
          <w:szCs w:val="32"/>
        </w:rPr>
        <w:t xml:space="preserve"> 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为加强矿业管理工作，保护和合理开发利用矿产资源，促进经济发展，根据《中华人民共和国民族区域自治法》、《中华人民共和国矿产资源法》等法律法规，结合前郭尔罗斯蒙古族自治县</w:t>
      </w:r>
      <w:r>
        <w:rPr>
          <w:rFonts w:eastAsia="仿宋_GB2312;微软雅黑" w:hint="eastAsia" w:ascii="仿宋_GB2312;微软雅黑" w:hAnsi="仿宋_GB2312;微软雅黑"/>
          <w:sz w:val="32"/>
          <w:szCs w:val="32"/>
        </w:rPr>
        <w:t>(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以下简称自治县）实际，制定本条例。</w:t>
      </w:r>
    </w:p>
    <w:p>
      <w:pPr>
        <w:pStyle w:val="Normal"/>
        <w:ind w:firstLineChars="196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第二条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凡在自治县行政区域内</w:t>
      </w:r>
      <w:r>
        <w:rPr>
          <w:rFonts w:ascii="仿宋_GB2312;微软雅黑" w:hAnsi="仿宋_GB2312;微软雅黑" w:cs="宋体;SimSun" w:hint="eastAsia" w:eastAsia="仿宋_GB2312;微软雅黑"/>
          <w:color w:val="333333"/>
          <w:kern w:val="0"/>
          <w:sz w:val="32"/>
          <w:szCs w:val="32"/>
        </w:rPr>
        <w:t>进行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矿产资源勘查、开采</w:t>
      </w:r>
      <w:r>
        <w:rPr>
          <w:rFonts w:ascii="仿宋_GB2312;微软雅黑" w:hAnsi="仿宋_GB2312;微软雅黑" w:cs="宋体;SimSun" w:hint="eastAsia" w:eastAsia="仿宋_GB2312;微软雅黑"/>
          <w:color w:val="333333"/>
          <w:kern w:val="0"/>
          <w:sz w:val="32"/>
          <w:szCs w:val="32"/>
        </w:rPr>
        <w:t>和管理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活动，应当遵守本条例。</w:t>
      </w:r>
    </w:p>
    <w:p>
      <w:pPr>
        <w:pStyle w:val="Normal"/>
        <w:ind w:firstLineChars="196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第三条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自治县人民政府国土资源主管部门</w:t>
      </w:r>
      <w:r>
        <w:rPr>
          <w:rFonts w:ascii="仿宋_GB2312;微软雅黑" w:hAnsi="仿宋_GB2312;微软雅黑" w:cs="楷体_GB2312;微软雅黑" w:hint="eastAsia" w:eastAsia="仿宋_GB2312;微软雅黑"/>
          <w:sz w:val="32"/>
          <w:szCs w:val="32"/>
        </w:rPr>
        <w:t>负责本行政区域内矿产资源勘查、开采的监督管理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工作，其他部门按照各自职能协助做好相关工作。</w:t>
      </w:r>
    </w:p>
    <w:p>
      <w:pPr>
        <w:pStyle w:val="Normal"/>
        <w:ind w:firstLineChars="196" w:startChars="0" w:start="0" w:endChars="0" w:end="0"/>
        <w:rPr/>
      </w:pPr>
      <w:r>
        <w:rPr>
          <w:rFonts w:ascii="黑体;SimHei" w:hAnsi="黑体;SimHei" w:hint="eastAsia" w:eastAsia="黑体;SimHei"/>
          <w:bCs/>
          <w:sz w:val="32"/>
          <w:szCs w:val="32"/>
        </w:rPr>
        <w:t>第四条</w:t>
      </w:r>
      <w:r>
        <w:rPr>
          <w:rFonts w:ascii="仿宋_GB2312;微软雅黑" w:hAnsi="仿宋_GB2312;微软雅黑" w:hint="eastAsia" w:eastAsia="仿宋_GB2312;微软雅黑"/>
          <w:b/>
          <w:bCs/>
          <w:sz w:val="32"/>
          <w:szCs w:val="32"/>
        </w:rPr>
        <w:t xml:space="preserve"> 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自治县根据法律规定和国家、省的统一规划，对可以由本地方开发的矿产资源，优先合理开发利用。</w:t>
      </w:r>
    </w:p>
    <w:p>
      <w:pPr>
        <w:pStyle w:val="Normal"/>
        <w:ind w:firstLine="645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仿宋_GB2312;微软雅黑" w:hAnsi="仿宋_GB2312;微软雅黑" w:hint="eastAsia" w:eastAsia="仿宋_GB2312;微软雅黑"/>
          <w:sz w:val="32"/>
          <w:szCs w:val="32"/>
        </w:rPr>
        <w:t>自治县积极吸纳国内外资金和技术，以多种形式投入矿产资源保护、开发和矿业经济发展，依法保护涉矿企业和从业人员的合法权益。</w:t>
      </w:r>
    </w:p>
    <w:p>
      <w:pPr>
        <w:pStyle w:val="Normal"/>
        <w:ind w:firstLine="645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第五条</w:t>
      </w:r>
      <w:r>
        <w:rPr>
          <w:rFonts w:ascii="仿宋_GB2312;微软雅黑" w:hAnsi="仿宋_GB2312;微软雅黑" w:hint="eastAsia" w:eastAsia="仿宋_GB2312;微软雅黑"/>
          <w:b/>
          <w:sz w:val="32"/>
          <w:szCs w:val="32"/>
        </w:rPr>
        <w:t xml:space="preserve"> 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凡在自治县行政区域内勘查、开采矿产资源的单位和个人，必须具备法定的资质条件，持有依法取得的勘查许可证、采矿许可证。</w:t>
      </w:r>
      <w:r>
        <w:rPr>
          <w:rFonts w:eastAsia="仿宋_GB2312;微软雅黑" w:hint="eastAsia" w:ascii="仿宋_GB2312;微软雅黑" w:hAnsi="仿宋_GB2312;微软雅黑"/>
          <w:sz w:val="32"/>
          <w:szCs w:val="32"/>
        </w:rPr>
        <w:br/>
        <w:t xml:space="preserve">    </w:t>
      </w:r>
      <w:r>
        <w:rPr>
          <w:rFonts w:ascii="黑体;SimHei" w:hAnsi="黑体;SimHei" w:hint="eastAsia" w:eastAsia="黑体;SimHei"/>
          <w:sz w:val="32"/>
          <w:szCs w:val="32"/>
        </w:rPr>
        <w:t>第六条</w:t>
      </w:r>
      <w:r>
        <w:rPr>
          <w:rFonts w:ascii="仿宋_GB2312;微软雅黑" w:hAnsi="仿宋_GB2312;微软雅黑" w:hint="eastAsia" w:eastAsia="仿宋_GB2312;微软雅黑"/>
          <w:b/>
          <w:sz w:val="32"/>
          <w:szCs w:val="32"/>
        </w:rPr>
        <w:t xml:space="preserve"> 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小型中、低产田改造等土地整理及市政工程用土时，以获取矿产品营利为目的的，应按规定办理采矿许可证，并事先到自治县国土资源主管部门办理审批手续。</w:t>
      </w:r>
    </w:p>
    <w:p>
      <w:pPr>
        <w:pStyle w:val="Normal"/>
        <w:ind w:firstLine="645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第七条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探矿权人、采矿权人应当向自治县国土资源主管部门按时报送有关报表、资料。国土资源主管部门应当做好保密工作。</w:t>
      </w:r>
    </w:p>
    <w:p>
      <w:pPr>
        <w:pStyle w:val="Normal"/>
        <w:ind w:firstLine="645" w:end="0"/>
        <w:rPr/>
      </w:pPr>
      <w:r>
        <w:rPr>
          <w:rFonts w:ascii="黑体;SimHei" w:hAnsi="黑体;SimHei" w:cs="宋体;SimSun" w:hint="eastAsia" w:eastAsia="黑体;SimHei"/>
          <w:bCs/>
          <w:kern w:val="0"/>
          <w:sz w:val="32"/>
          <w:szCs w:val="32"/>
        </w:rPr>
        <w:t>第八条</w:t>
      </w:r>
      <w:r>
        <w:rPr>
          <w:rFonts w:ascii="仿宋_GB2312;微软雅黑" w:hAnsi="仿宋_GB2312;微软雅黑" w:cs="宋体;SimSun" w:hint="eastAsia" w:eastAsia="仿宋_GB2312;微软雅黑"/>
          <w:kern w:val="0"/>
          <w:sz w:val="32"/>
          <w:szCs w:val="32"/>
        </w:rPr>
        <w:t xml:space="preserve"> 在自治县行政区域内设立矿山企业，应当依法办理企业法人登记注册、税务登记；矿区跨区域的，在条件具备时，应当优先选择在自治县设立</w:t>
      </w:r>
      <w:r>
        <w:rPr>
          <w:rFonts w:ascii="仿宋_GB2312;微软雅黑" w:hAnsi="仿宋_GB2312;微软雅黑" w:cs="楷体_GB2312;微软雅黑" w:hint="eastAsia" w:eastAsia="仿宋_GB2312;微软雅黑"/>
          <w:sz w:val="32"/>
          <w:szCs w:val="32"/>
        </w:rPr>
        <w:t>独立法人</w:t>
      </w:r>
      <w:r>
        <w:rPr>
          <w:rFonts w:ascii="仿宋_GB2312;微软雅黑" w:hAnsi="仿宋_GB2312;微软雅黑" w:cs="宋体;SimSun" w:hint="eastAsia" w:eastAsia="仿宋_GB2312;微软雅黑"/>
          <w:kern w:val="0"/>
          <w:sz w:val="32"/>
          <w:szCs w:val="32"/>
        </w:rPr>
        <w:t>公司，依法办理相关登记注册。</w:t>
      </w:r>
    </w:p>
    <w:p>
      <w:pPr>
        <w:pStyle w:val="Normal"/>
        <w:tabs>
          <w:tab w:val="clear" w:pos="420"/>
          <w:tab w:val="left" w:pos="2370" w:leader="none"/>
        </w:tabs>
        <w:ind w:firstLineChars="196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第九条</w:t>
      </w:r>
      <w:r>
        <w:rPr>
          <w:rFonts w:ascii="仿宋_GB2312;微软雅黑" w:hAnsi="仿宋_GB2312;微软雅黑" w:hint="eastAsia" w:eastAsia="仿宋_GB2312;微软雅黑"/>
          <w:b/>
          <w:sz w:val="32"/>
          <w:szCs w:val="32"/>
        </w:rPr>
        <w:t xml:space="preserve"> 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矿产资源实行有偿开发。在自治县行政区域内开采矿产资源的，应当按照国家和省的有关规定缴纳资源税、矿产资源补偿费和采矿权价款。</w:t>
      </w:r>
    </w:p>
    <w:p>
      <w:pPr>
        <w:pStyle w:val="Normal"/>
        <w:ind w:firstLine="645" w:end="0"/>
        <w:rPr>
          <w:rFonts w:ascii="仿宋_GB2312;微软雅黑" w:hAnsi="仿宋_GB2312;微软雅黑" w:eastAsia="仿宋_GB2312;微软雅黑" w:cs="宋体;SimSun" w:hint="eastAsia"/>
          <w:kern w:val="0"/>
          <w:sz w:val="32"/>
          <w:szCs w:val="32"/>
        </w:rPr>
      </w:pPr>
      <w:r>
        <w:rPr>
          <w:rFonts w:ascii="黑体;SimHei" w:hAnsi="黑体;SimHei" w:cs="仿宋_GB2312;微软雅黑" w:hint="eastAsia" w:eastAsia="黑体;SimHei"/>
          <w:bCs/>
          <w:sz w:val="32"/>
          <w:szCs w:val="32"/>
        </w:rPr>
        <w:t>第十条</w:t>
      </w:r>
      <w:r>
        <w:rPr>
          <w:rFonts w:ascii="仿宋_GB2312;微软雅黑" w:hAnsi="仿宋_GB2312;微软雅黑" w:cs="仿宋_GB2312;微软雅黑" w:hint="eastAsia" w:eastAsia="仿宋_GB2312;微软雅黑"/>
          <w:sz w:val="32"/>
          <w:szCs w:val="32"/>
        </w:rPr>
        <w:t xml:space="preserve"> 自治县在本行政区域内合资合作开发石油、天然气取得的增值税及资源税，分成部分按照国家和省的有关规定执行。</w:t>
      </w:r>
      <w:r>
        <w:rPr>
          <w:rFonts w:eastAsia="仿宋_GB2312;微软雅黑" w:cs="仿宋_GB2312;微软雅黑" w:hint="eastAsia" w:ascii="仿宋_GB2312;微软雅黑" w:hAnsi="仿宋_GB2312;微软雅黑"/>
          <w:sz w:val="32"/>
          <w:szCs w:val="32"/>
        </w:rPr>
        <w:br/>
        <w:t xml:space="preserve">    </w:t>
      </w:r>
      <w:r>
        <w:rPr>
          <w:rFonts w:ascii="黑体;SimHei" w:hAnsi="黑体;SimHei" w:hint="eastAsia" w:eastAsia="黑体;SimHei"/>
          <w:bCs/>
          <w:sz w:val="32"/>
          <w:szCs w:val="32"/>
        </w:rPr>
        <w:t>第十一条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在</w:t>
      </w:r>
      <w:r>
        <w:rPr>
          <w:rFonts w:ascii="仿宋_GB2312;微软雅黑" w:hAnsi="仿宋_GB2312;微软雅黑" w:cs="宋体;SimSun" w:hint="eastAsia" w:eastAsia="仿宋_GB2312;微软雅黑"/>
          <w:kern w:val="0"/>
          <w:sz w:val="32"/>
          <w:szCs w:val="32"/>
        </w:rPr>
        <w:t>自治县开发矿产资源，应当</w:t>
      </w:r>
      <w:r>
        <w:rPr>
          <w:rFonts w:ascii="仿宋_GB2312;微软雅黑" w:hAnsi="仿宋_GB2312;微软雅黑" w:cs="楷体_GB2312;微软雅黑" w:hint="eastAsia" w:eastAsia="仿宋_GB2312;微软雅黑"/>
          <w:sz w:val="32"/>
          <w:szCs w:val="32"/>
        </w:rPr>
        <w:t>有利于当地经济建设，照顾少数民族的生产和生活</w:t>
      </w:r>
      <w:r>
        <w:rPr>
          <w:rFonts w:ascii="仿宋_GB2312;微软雅黑" w:hAnsi="仿宋_GB2312;微软雅黑" w:cs="宋体;SimSun" w:hint="eastAsia" w:eastAsia="仿宋_GB2312;微软雅黑"/>
          <w:kern w:val="0"/>
          <w:sz w:val="32"/>
          <w:szCs w:val="32"/>
        </w:rPr>
        <w:t>。与自治县企业以合资、合作等方式进行联合开发的，应当依法订立合同，约定相互权利与义务。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 </w:t>
      </w:r>
    </w:p>
    <w:p>
      <w:pPr>
        <w:pStyle w:val="Normal"/>
        <w:ind w:firstLineChars="195" w:startChars="0" w:start="0" w:endChars="0" w:end="0"/>
        <w:rPr/>
      </w:pPr>
      <w:r>
        <w:rPr>
          <w:rFonts w:ascii="黑体;SimHei" w:hAnsi="黑体;SimHei" w:hint="eastAsia" w:eastAsia="黑体;SimHei"/>
          <w:bCs/>
          <w:sz w:val="32"/>
          <w:szCs w:val="32"/>
        </w:rPr>
        <w:t>第十二条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自治县鼓励地质勘查单位到自治县境内勘查矿产资源，依法保障其合法权益。</w:t>
      </w:r>
    </w:p>
    <w:p>
      <w:pPr>
        <w:pStyle w:val="Normal"/>
        <w:ind w:firstLine="645" w:end="0"/>
        <w:rPr/>
      </w:pPr>
      <w:r>
        <w:rPr>
          <w:rFonts w:ascii="仿宋_GB2312;微软雅黑" w:hAnsi="仿宋_GB2312;微软雅黑" w:hint="eastAsia" w:eastAsia="仿宋_GB2312;微软雅黑"/>
          <w:sz w:val="32"/>
          <w:szCs w:val="32"/>
        </w:rPr>
        <w:t>探矿权人可以将探矿权折价入股，与自治县企业联合兴办矿山企业。</w:t>
      </w:r>
      <w:r>
        <w:rPr>
          <w:rFonts w:eastAsia="仿宋_GB2312;微软雅黑" w:hint="eastAsia" w:ascii="仿宋_GB2312;微软雅黑" w:hAnsi="仿宋_GB2312;微软雅黑"/>
          <w:sz w:val="32"/>
          <w:szCs w:val="32"/>
        </w:rPr>
        <w:br/>
        <w:t xml:space="preserve">    </w:t>
      </w:r>
      <w:r>
        <w:rPr>
          <w:rFonts w:ascii="黑体;SimHei" w:hAnsi="黑体;SimHei" w:hint="eastAsia" w:eastAsia="黑体;SimHei"/>
          <w:sz w:val="32"/>
          <w:szCs w:val="32"/>
        </w:rPr>
        <w:t>第十三条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自治县境内从事矿产资源开发经营的企业招用人员时，应当优先从自治县招用。</w:t>
      </w:r>
    </w:p>
    <w:p>
      <w:pPr>
        <w:pStyle w:val="Normal"/>
        <w:ind w:firstLine="645" w:end="0"/>
        <w:rPr/>
      </w:pPr>
      <w:r>
        <w:rPr>
          <w:rFonts w:ascii="黑体;SimHei" w:hAnsi="黑体;SimHei" w:cs="宋体;SimSun" w:hint="eastAsia" w:eastAsia="黑体;SimHei"/>
          <w:bCs/>
          <w:kern w:val="0"/>
          <w:sz w:val="32"/>
          <w:szCs w:val="32"/>
        </w:rPr>
        <w:t>第十四条</w:t>
      </w:r>
      <w:r>
        <w:rPr>
          <w:rFonts w:ascii="仿宋_GB2312;微软雅黑" w:hAnsi="仿宋_GB2312;微软雅黑" w:cs="宋体;SimSun" w:hint="eastAsia" w:eastAsia="仿宋_GB2312;微软雅黑"/>
          <w:kern w:val="0"/>
          <w:sz w:val="32"/>
          <w:szCs w:val="32"/>
        </w:rPr>
        <w:t xml:space="preserve"> 探矿权人、采矿权人因勘查、开采矿产资源对环境造成破坏的，应当给予恢复和治理；给他人生产、生活造成损失的，应当采取必要的补救措施和赔偿。</w:t>
      </w:r>
    </w:p>
    <w:p>
      <w:pPr>
        <w:pStyle w:val="Normal"/>
        <w:ind w:firstLine="645" w:end="0"/>
        <w:rPr>
          <w:rFonts w:ascii="仿宋_GB2312;微软雅黑" w:hAnsi="仿宋_GB2312;微软雅黑" w:eastAsia="仿宋_GB2312;微软雅黑" w:hint="eastAsia"/>
          <w:sz w:val="32"/>
          <w:szCs w:val="32"/>
        </w:rPr>
      </w:pPr>
      <w:r>
        <w:rPr>
          <w:rFonts w:ascii="黑体;SimHei" w:hAnsi="黑体;SimHei" w:hint="eastAsia" w:eastAsia="黑体;SimHei"/>
          <w:sz w:val="32"/>
          <w:szCs w:val="32"/>
        </w:rPr>
        <w:t>第十五条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矿山企业应当具备保障安全生产的必要条件，严格执行相关法律法规，建立健全安全生产各项制度和操作规程。</w:t>
      </w:r>
      <w:r>
        <w:rPr>
          <w:rFonts w:eastAsia="仿宋_GB2312;微软雅黑" w:hint="eastAsia" w:ascii="仿宋_GB2312;微软雅黑" w:hAnsi="仿宋_GB2312;微软雅黑"/>
          <w:sz w:val="32"/>
          <w:szCs w:val="32"/>
        </w:rPr>
        <w:br/>
        <w:t xml:space="preserve">    </w:t>
      </w:r>
      <w:r>
        <w:rPr>
          <w:rFonts w:ascii="黑体;SimHei" w:hAnsi="黑体;SimHei" w:hint="eastAsia" w:eastAsia="黑体;SimHei"/>
          <w:sz w:val="32"/>
          <w:szCs w:val="32"/>
        </w:rPr>
        <w:t>第十六条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 xml:space="preserve"> </w:t>
      </w:r>
      <w:r>
        <w:rPr>
          <w:rFonts w:ascii="仿宋_GB2312;微软雅黑" w:hAnsi="仿宋_GB2312;微软雅黑" w:cs="宋体;SimSun" w:hint="eastAsia" w:eastAsia="仿宋_GB2312;微软雅黑"/>
          <w:sz w:val="32"/>
          <w:szCs w:val="32"/>
        </w:rPr>
        <w:t>对未取得采矿许可证开采矿产资源的，由自治县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国土资源主管部门</w:t>
      </w:r>
      <w:r>
        <w:rPr>
          <w:rFonts w:ascii="仿宋_GB2312;微软雅黑" w:hAnsi="仿宋_GB2312;微软雅黑" w:cs="宋体;SimSun" w:hint="eastAsia" w:eastAsia="仿宋_GB2312;微软雅黑"/>
          <w:sz w:val="32"/>
          <w:szCs w:val="32"/>
        </w:rPr>
        <w:t>责令停止开采，没收违法所得，并处以违法所得</w:t>
      </w:r>
      <w:r>
        <w:rPr>
          <w:rFonts w:eastAsia="仿宋_GB2312;微软雅黑" w:cs="宋体;SimSun" w:hint="eastAsia" w:ascii="仿宋_GB2312;微软雅黑" w:hAnsi="仿宋_GB2312;微软雅黑"/>
          <w:sz w:val="32"/>
          <w:szCs w:val="32"/>
        </w:rPr>
        <w:t>10%</w:t>
      </w:r>
      <w:r>
        <w:rPr>
          <w:rFonts w:ascii="仿宋_GB2312;微软雅黑" w:hAnsi="仿宋_GB2312;微软雅黑" w:cs="宋体;SimSun" w:hint="eastAsia" w:eastAsia="仿宋_GB2312;微软雅黑"/>
          <w:sz w:val="32"/>
          <w:szCs w:val="32"/>
        </w:rPr>
        <w:t>以上</w:t>
      </w:r>
      <w:r>
        <w:rPr>
          <w:rFonts w:eastAsia="仿宋_GB2312;微软雅黑" w:cs="宋体;SimSun" w:hint="eastAsia" w:ascii="仿宋_GB2312;微软雅黑" w:hAnsi="仿宋_GB2312;微软雅黑"/>
          <w:sz w:val="32"/>
          <w:szCs w:val="32"/>
        </w:rPr>
        <w:t>50%</w:t>
      </w:r>
      <w:r>
        <w:rPr>
          <w:rFonts w:ascii="仿宋_GB2312;微软雅黑" w:hAnsi="仿宋_GB2312;微软雅黑" w:cs="宋体;SimSun" w:hint="eastAsia" w:eastAsia="仿宋_GB2312;微软雅黑"/>
          <w:sz w:val="32"/>
          <w:szCs w:val="32"/>
        </w:rPr>
        <w:t>以下的罚款；造成矿产资源破坏，构成犯罪的，依法追究刑事责任。</w:t>
      </w:r>
    </w:p>
    <w:p>
      <w:pPr>
        <w:pStyle w:val="Normal"/>
        <w:ind w:firstLine="645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第十七条</w:t>
      </w:r>
      <w:r>
        <w:rPr>
          <w:rFonts w:ascii="仿宋_GB2312;微软雅黑" w:hAnsi="仿宋_GB2312;微软雅黑" w:hint="eastAsia" w:eastAsia="仿宋_GB2312;微软雅黑"/>
          <w:b/>
          <w:sz w:val="32"/>
          <w:szCs w:val="32"/>
        </w:rPr>
        <w:t xml:space="preserve"> 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本条例自</w:t>
      </w:r>
      <w:r>
        <w:rPr>
          <w:rFonts w:eastAsia="仿宋_GB2312;微软雅黑" w:hint="eastAsia" w:ascii="仿宋_GB2312;微软雅黑" w:hAnsi="仿宋_GB2312;微软雅黑"/>
          <w:sz w:val="32"/>
          <w:szCs w:val="32"/>
        </w:rPr>
        <w:t>2014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年</w:t>
      </w:r>
      <w:r>
        <w:rPr>
          <w:rFonts w:eastAsia="仿宋_GB2312;微软雅黑" w:hint="eastAsia" w:ascii="仿宋_GB2312;微软雅黑" w:hAnsi="仿宋_GB2312;微软雅黑"/>
          <w:sz w:val="32"/>
          <w:szCs w:val="32"/>
        </w:rPr>
        <w:t>12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月</w:t>
      </w:r>
      <w:r>
        <w:rPr>
          <w:rFonts w:eastAsia="仿宋_GB2312;微软雅黑" w:hint="eastAsia" w:ascii="仿宋_GB2312;微软雅黑" w:hAnsi="仿宋_GB2312;微软雅黑"/>
          <w:sz w:val="32"/>
          <w:szCs w:val="32"/>
        </w:rPr>
        <w:t>1</w:t>
      </w:r>
      <w:r>
        <w:rPr>
          <w:rFonts w:ascii="仿宋_GB2312;微软雅黑" w:hAnsi="仿宋_GB2312;微软雅黑" w:hint="eastAsia" w:eastAsia="仿宋_GB2312;微软雅黑"/>
          <w:sz w:val="32"/>
          <w:szCs w:val="32"/>
        </w:rPr>
        <w:t>日起施行。</w:t>
      </w:r>
    </w:p>
    <w:sectPr>
      <w:footerReference w:type="even" r:id="rId2"/>
      <w:footerReference w:type="default" r:id="rId3"/>
      <w:type w:val="nextPage"/>
      <w:pgSz w:w="11906" w:h="16838"/>
      <w:pgMar w:left="1588" w:right="1474" w:gutter="0" w:header="0" w:top="2098" w:footer="992" w:bottom="1985"/>
      <w:pgNumType w:fmt="decimal"/>
      <w:formProt w:val="false"/>
      <w:textDirection w:val="lrTb"/>
      <w:docGrid w:type="lines" w:linePitch="579" w:charSpace="215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楷体_GB2312">
    <w:altName w:val="微软雅黑"/>
    <w:charset w:val="86"/>
    <w:family w:val="modern"/>
    <w:pitch w:val="default"/>
  </w:font>
  <w:font w:name="黑体">
    <w:altName w:val="SimHei"/>
    <w:charset w:val="86"/>
    <w:family w:val="modern"/>
    <w:pitch w:val="default"/>
  </w:font>
  <w:font w:name="仿宋_GB2312">
    <w:altName w:val="微软雅黑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100" w:startChars="0" w:start="0" w:endChars="0" w:end="0"/>
      <w:rPr>
        <w:rFonts w:ascii="宋体;SimSun" w:hAnsi="宋体;SimSun" w:cs="宋体;SimSun"/>
        <w:sz w:val="28"/>
        <w:szCs w:val="28"/>
      </w:rPr>
    </w:pPr>
    <w:r>
      <w:rPr>
        <w:rFonts w:cs="宋体;SimSun" w:ascii="宋体;SimSun" w:hAnsi="宋体;SimSun"/>
        <w:sz w:val="28"/>
        <w:szCs w:val="28"/>
      </w:rPr>
      <w:fldChar w:fldCharType="begin"/>
    </w:r>
    <w:r>
      <w:rPr>
        <w:rFonts w:cs="宋体;SimSun" w:ascii="宋体;SimSun" w:hAnsi="宋体;SimSun"/>
        <w:sz w:val="28"/>
        <w:szCs w:val="28"/>
      </w:rPr>
      <w:instrText xml:space="preserve"> PAGE </w:instrText>
    </w:r>
    <w:r>
      <w:rPr>
        <w:rFonts w:cs="宋体;SimSun" w:ascii="宋体;SimSun" w:hAnsi="宋体;SimSun"/>
        <w:sz w:val="28"/>
        <w:szCs w:val="28"/>
      </w:rPr>
      <w:fldChar w:fldCharType="separate"/>
    </w:r>
    <w:r>
      <w:rPr>
        <w:rFonts w:cs="宋体;SimSun" w:ascii="宋体;SimSun" w:hAnsi="宋体;SimSun"/>
        <w:sz w:val="28"/>
        <w:szCs w:val="28"/>
      </w:rPr>
      <w:t>2</w:t>
    </w:r>
    <w:r>
      <w:rPr>
        <w:rFonts w:cs="宋体;SimSun" w:ascii="宋体;SimSun" w:hAnsi="宋体;SimSun"/>
        <w:sz w:val="28"/>
        <w:szCs w:val="28"/>
      </w:rPr>
      <w:fldChar w:fldCharType="end"/>
    </w:r>
  </w:p>
  <w:p>
    <w:pPr>
      <w:pStyle w:val="Footer"/>
      <w:rPr>
        <w:rFonts w:ascii="宋体;SimSun" w:hAnsi="宋体;SimSun" w:cs="宋体;SimSun"/>
        <w:sz w:val="28"/>
        <w:szCs w:val="28"/>
      </w:rPr>
    </w:pPr>
    <w:r>
      <w:rPr>
        <w:rFonts w:cs="宋体;SimSun" w:ascii="宋体;SimSun" w:hAnsi="宋体;SimSun"/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420"/>
      <w:jc w:val="end"/>
      <w:rPr>
        <w:rFonts w:ascii="宋体;SimSun" w:hAnsi="宋体;SimSun" w:cs="宋体;SimSun"/>
        <w:sz w:val="28"/>
        <w:szCs w:val="28"/>
      </w:rPr>
    </w:pPr>
    <w:r>
      <w:rPr>
        <w:rFonts w:cs="宋体;SimSun" w:ascii="宋体;SimSun" w:hAnsi="宋体;SimSun"/>
        <w:sz w:val="28"/>
        <w:szCs w:val="28"/>
      </w:rPr>
      <w:fldChar w:fldCharType="begin"/>
    </w:r>
    <w:r>
      <w:rPr>
        <w:rFonts w:cs="宋体;SimSun" w:ascii="宋体;SimSun" w:hAnsi="宋体;SimSun"/>
        <w:sz w:val="28"/>
        <w:szCs w:val="28"/>
      </w:rPr>
      <w:instrText xml:space="preserve"> PAGE </w:instrText>
    </w:r>
    <w:r>
      <w:rPr>
        <w:rFonts w:cs="宋体;SimSun" w:ascii="宋体;SimSun" w:hAnsi="宋体;SimSun"/>
        <w:sz w:val="28"/>
        <w:szCs w:val="28"/>
      </w:rPr>
      <w:fldChar w:fldCharType="separate"/>
    </w:r>
    <w:r>
      <w:rPr>
        <w:rFonts w:cs="宋体;SimSun" w:ascii="宋体;SimSun" w:hAnsi="宋体;SimSun"/>
        <w:sz w:val="28"/>
        <w:szCs w:val="28"/>
      </w:rPr>
      <w:t>3</w:t>
    </w:r>
    <w:r>
      <w:rPr>
        <w:rFonts w:cs="宋体;SimSun" w:ascii="宋体;SimSun" w:hAnsi="宋体;SimSun"/>
        <w:sz w:val="28"/>
        <w:szCs w:val="28"/>
      </w:rPr>
      <w:fldChar w:fldCharType="end"/>
    </w:r>
  </w:p>
  <w:p>
    <w:pPr>
      <w:pStyle w:val="Footer"/>
      <w:rPr>
        <w:rFonts w:ascii="宋体;SimSun" w:hAnsi="宋体;SimSun" w:cs="宋体;SimSun"/>
        <w:sz w:val="28"/>
        <w:szCs w:val="28"/>
      </w:rPr>
    </w:pPr>
    <w:r>
      <w:rPr>
        <w:rFonts w:cs="宋体;SimSun" w:ascii="宋体;SimSun" w:hAnsi="宋体;SimSun"/>
        <w:sz w:val="28"/>
        <w:szCs w:val="28"/>
      </w:rPr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眉 Char"/>
    <w:basedOn w:val="Style14"/>
    <w:qFormat/>
    <w:rPr>
      <w:sz w:val="18"/>
      <w:szCs w:val="18"/>
    </w:rPr>
  </w:style>
  <w:style w:type="character" w:styleId="Char1">
    <w:name w:val="页脚 Char"/>
    <w:basedOn w:val="Style14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2017-01-20T09:30:00Z</dcterms:created>
  <dc:creator>Administrator</dc:creator>
  <dc:description/>
  <cp:keywords/>
  <dc:language>en-US</dc:language>
  <cp:lastModifiedBy>Administrator</cp:lastModifiedBy>
  <dcterms:modified xsi:type="dcterms:W3CDTF">2017-01-26T09:27:00Z</dcterms:modified>
  <cp:revision>14</cp:revision>
  <dc:subject/>
  <dc:title/>
</cp:coreProperties>
</file>