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p>
      <w:pPr>
        <w:pStyle w:val="Normal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 w:eastAsia="宋体"/>
          <w:b/>
          <w:bCs/>
          <w:sz w:val="44"/>
          <w:szCs w:val="44"/>
        </w:rPr>
        <w:t>白山市燃放烟花爆竹管理条例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楷体_GB2312" w:hAnsi="楷体_GB2312" w:eastAsia="楷体_GB2312" w:cs="楷体_GB2312" w:hint="eastAsia"/>
          <w:b/>
          <w:bCs/>
          <w:spacing w:val="2"/>
          <w:w w:val="80"/>
          <w:kern w:val="0"/>
          <w:sz w:val="32"/>
          <w:szCs w:val="32"/>
        </w:rPr>
      </w:pPr>
      <w:r>
        <w:rPr>
          <w:rFonts w:eastAsia="楷体_GB2312" w:cs="楷体_GB2312" w:hint="eastAsia" w:ascii="楷体_GB2312" w:hAnsi="楷体_GB2312"/>
          <w:b/>
          <w:bCs/>
          <w:spacing w:val="2"/>
          <w:w w:val="80"/>
          <w:kern w:val="0"/>
          <w:sz w:val="32"/>
          <w:szCs w:val="32"/>
        </w:rPr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8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25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日白山市第八届人民代表大会常务委员会第三十一次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 xml:space="preserve">会议通过  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9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2"/>
          <w:w w:val="80"/>
          <w:kern w:val="0"/>
          <w:sz w:val="32"/>
          <w:szCs w:val="32"/>
        </w:rPr>
        <w:t>29</w:t>
      </w: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日吉林省第十三届人民代表大会常务委员会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pacing w:val="2"/>
          <w:w w:val="80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2"/>
          <w:w w:val="80"/>
          <w:kern w:val="0"/>
          <w:sz w:val="32"/>
          <w:szCs w:val="32"/>
        </w:rPr>
        <w:t>第二十四次会议批准）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0"/>
        <w:jc w:val="start"/>
        <w:textAlignment w:val="auto"/>
        <w:rPr>
          <w:rFonts w:ascii="宋体" w:hAnsi="宋体" w:eastAsia="宋体" w:cs="宋体" w:hint="eastAsia"/>
          <w:b w:val="false"/>
          <w:bCs w:val="false"/>
          <w:spacing w:val="2"/>
          <w:w w:val="100"/>
          <w:kern w:val="0"/>
          <w:sz w:val="32"/>
          <w:szCs w:val="32"/>
        </w:rPr>
      </w:pPr>
      <w:r>
        <w:rPr>
          <w:rFonts w:eastAsia="宋体" w:cs="宋体" w:hint="eastAsia" w:ascii="宋体" w:hAnsi="宋体"/>
          <w:b w:val="false"/>
          <w:bCs w:val="false"/>
          <w:spacing w:val="2"/>
          <w:w w:val="100"/>
          <w:kern w:val="0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第一条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为了加强燃放烟花爆竹管理，减少大气、噪声和环境卫生等污染，保障公共安全和人身财产安全，根据国务院《烟花爆竹安全管理条例》等法律法规，结合实际，制定本条例。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第二条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浑江区、江源区城市中心区内燃放烟花爆竹及其相关管理活动，适用本条例。城市中心区具体范围由市人民政府确定并公布。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各县（市）可以参照本条例的规定执行。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依法应当由公安机关许可举办的焰火晚会、其他大型焰火燃放活动，不受本条例第七条、第八条限制。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b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第三条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燃放烟花爆竹管理，应当坚持禁限结合、安全环保的原则。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第四条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本条例由市人民政府组织实施。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公安机关负责烟花爆竹的公共安全管理，查处违法燃放烟花爆竹的行为。其他有关部门应当按照各自职责，做好燃放烟花爆竹监督管理工作。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乡（镇）人民政府、街道办事处应当做好本行政区域内燃放烟花爆竹管理工作。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城市居民委员会、村民委员会、物业服务企业等应当协助做好燃放烟花爆竹管理的相关工作。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第五条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国家机关、社会团体、企业事业单位、学校和其他组织，应当开展依法、文明、安全燃放烟花爆竹的宣传教育活动。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广播电视、报刊、网络等信息传播媒体，应当做好燃放烟花爆竹安全管理的宣传教育工作。</w:t>
      </w:r>
    </w:p>
    <w:p>
      <w:pPr>
        <w:pStyle w:val="Normal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第六条</w:t>
      </w:r>
      <w:r>
        <w:rPr>
          <w:rFonts w:ascii="仿宋_GB2312" w:hAnsi="仿宋_GB2312" w:cs="仿宋_GB2312" w:hint="eastAsia"/>
          <w:sz w:val="32"/>
          <w:szCs w:val="32"/>
        </w:rPr>
        <w:t xml:space="preserve"> 下列区域和地点禁止燃放烟花爆竹：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（一）文物保护单位（点）、历史建筑保护范围；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（二）车站、机场等交通枢纽以及铁路线路安全保护区；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（三）易燃易爆物品生产、经营、储存、运输单位；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（四）输变电设施安全防护区；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（五）医疗机构、幼儿园、学校、养老场所；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（六）商场、市场、影院、广场等人员密集场所；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（七）停车场、城市桥梁、地下空间；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（八）山林、草原等重点防火区；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（九）法律法规规定的其他区域和地点。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第七条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sz w:val="32"/>
          <w:szCs w:val="32"/>
        </w:rPr>
        <w:t>在城市中心区内，除第六条规定禁止燃放烟花爆竹的区域和地点外，其他区域为限制燃放区。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在限制燃放区内，下列时间段可以燃放烟花爆竹，其他时间段不得燃放烟花爆竹：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（一）除夕的八时至正月初一零时三十分；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（二）正月初一至正月初六的八时至二十三时；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（三）正月十五的八时至二十三时。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第八条</w:t>
      </w:r>
      <w:r>
        <w:rPr>
          <w:rFonts w:ascii="仿宋_GB2312" w:hAnsi="仿宋_GB2312" w:cs="仿宋_GB2312" w:hint="eastAsia"/>
          <w:sz w:val="32"/>
          <w:szCs w:val="32"/>
        </w:rPr>
        <w:t xml:space="preserve"> 在限制燃放区内，允许燃放符合《烟花爆竹安全与质量》规定的</w:t>
      </w:r>
      <w:r>
        <w:rPr>
          <w:rFonts w:eastAsia="仿宋_GB2312" w:cs="仿宋_GB2312" w:hint="eastAsia" w:ascii="仿宋_GB2312" w:hAnsi="仿宋_GB2312"/>
          <w:sz w:val="32"/>
          <w:szCs w:val="32"/>
        </w:rPr>
        <w:t>C</w:t>
      </w:r>
      <w:r>
        <w:rPr>
          <w:rFonts w:ascii="仿宋_GB2312" w:hAnsi="仿宋_GB2312" w:cs="仿宋_GB2312" w:hint="eastAsia"/>
          <w:sz w:val="32"/>
          <w:szCs w:val="32"/>
        </w:rPr>
        <w:t>级、</w:t>
      </w:r>
      <w:r>
        <w:rPr>
          <w:rFonts w:eastAsia="仿宋_GB2312" w:cs="仿宋_GB2312" w:hint="eastAsia" w:ascii="仿宋_GB2312" w:hAnsi="仿宋_GB2312"/>
          <w:sz w:val="32"/>
          <w:szCs w:val="32"/>
        </w:rPr>
        <w:t>D</w:t>
      </w:r>
      <w:r>
        <w:rPr>
          <w:rFonts w:ascii="仿宋_GB2312" w:hAnsi="仿宋_GB2312" w:cs="仿宋_GB2312" w:hint="eastAsia"/>
          <w:sz w:val="32"/>
          <w:szCs w:val="32"/>
        </w:rPr>
        <w:t>级个人燃放类烟花爆竹制品。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第九条</w:t>
      </w:r>
      <w:r>
        <w:rPr>
          <w:rFonts w:ascii="仿宋_GB2312" w:hAnsi="仿宋_GB2312" w:cs="仿宋_GB2312" w:hint="eastAsia"/>
          <w:sz w:val="32"/>
          <w:szCs w:val="32"/>
        </w:rPr>
        <w:t xml:space="preserve"> 城市居民委员会、村民委员会、物业服务企业可以依据本条例规定，通过文明公约，约定其管理区域内禁止燃放烟花爆竹的区域、地点，或者</w:t>
      </w:r>
      <w:r>
        <w:rPr>
          <w:rFonts w:eastAsia="仿宋_GB2312" w:cs="仿宋_GB2312" w:hint="eastAsia" w:ascii="仿宋_GB2312" w:hAnsi="仿宋_GB2312"/>
          <w:sz w:val="32"/>
          <w:szCs w:val="32"/>
        </w:rPr>
        <w:t>C</w:t>
      </w:r>
      <w:r>
        <w:rPr>
          <w:rFonts w:ascii="仿宋_GB2312" w:hAnsi="仿宋_GB2312" w:cs="仿宋_GB2312" w:hint="eastAsia"/>
          <w:sz w:val="32"/>
          <w:szCs w:val="32"/>
        </w:rPr>
        <w:t>级、</w:t>
      </w:r>
      <w:r>
        <w:rPr>
          <w:rFonts w:eastAsia="仿宋_GB2312" w:cs="仿宋_GB2312" w:hint="eastAsia" w:ascii="仿宋_GB2312" w:hAnsi="仿宋_GB2312"/>
          <w:sz w:val="32"/>
          <w:szCs w:val="32"/>
        </w:rPr>
        <w:t>D</w:t>
      </w:r>
      <w:r>
        <w:rPr>
          <w:rFonts w:ascii="仿宋_GB2312" w:hAnsi="仿宋_GB2312" w:cs="仿宋_GB2312" w:hint="eastAsia"/>
          <w:sz w:val="32"/>
          <w:szCs w:val="32"/>
        </w:rPr>
        <w:t xml:space="preserve">级个人燃放类中需要禁止燃放的烟花爆竹种类。     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第十条</w:t>
      </w:r>
      <w:r>
        <w:rPr>
          <w:rFonts w:ascii="仿宋_GB2312" w:hAnsi="仿宋_GB2312" w:cs="仿宋_GB2312" w:hint="eastAsia"/>
          <w:sz w:val="32"/>
          <w:szCs w:val="32"/>
        </w:rPr>
        <w:t xml:space="preserve"> 六级以上大风、中度以上污染、重污染天气及其预警期间，禁止燃放烟花爆竹。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第十一条</w:t>
      </w:r>
      <w:r>
        <w:rPr>
          <w:rFonts w:ascii="仿宋_GB2312" w:hAnsi="仿宋_GB2312" w:cs="仿宋_GB2312" w:hint="eastAsia"/>
          <w:sz w:val="32"/>
          <w:szCs w:val="32"/>
        </w:rPr>
        <w:t xml:space="preserve"> 燃放烟花爆竹，不得有下列行为：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（一）向人群、车辆、建（构）筑物和人员密集场所抛掷；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（二）指向易燃易爆物品；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（三）在房屋走廊、楼道、屋顶、阳台、窗台燃放或者向外抛掷；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（四）妨碍行人、车辆安全通行或者影响交通秩序；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（五）以其他危害公共安全和人身、财产安全的方式燃放烟花爆竹。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第十二条</w:t>
      </w:r>
      <w:r>
        <w:rPr>
          <w:rFonts w:ascii="仿宋_GB2312" w:hAnsi="仿宋_GB2312" w:cs="仿宋_GB2312" w:hint="eastAsia"/>
          <w:sz w:val="32"/>
          <w:szCs w:val="32"/>
        </w:rPr>
        <w:t xml:space="preserve"> 不满十四周岁的未成年人燃放烟花爆竹，应当有成年人陪同看护，并远离窨井。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第十三条</w:t>
      </w:r>
      <w:r>
        <w:rPr>
          <w:rFonts w:ascii="仿宋_GB2312" w:hAnsi="仿宋_GB2312" w:cs="仿宋_GB2312" w:hint="eastAsia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/>
          <w:b w:val="false"/>
          <w:bCs w:val="false"/>
          <w:sz w:val="32"/>
          <w:szCs w:val="32"/>
        </w:rPr>
        <w:t>任何单位和个人发现违反本条例规定燃放烟花爆竹行为的，有权进行劝阻或者向公安机关举报。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ascii="仿宋_GB2312" w:hAnsi="仿宋_GB2312" w:cs="仿宋_GB2312" w:hint="eastAsia"/>
          <w:b w:val="false"/>
          <w:bCs w:val="false"/>
          <w:sz w:val="32"/>
          <w:szCs w:val="32"/>
        </w:rPr>
        <w:t>酒店、宾馆、婚庆公司等单位在承办宴席、典礼时，对违反本条例规定燃放烟花爆竹的行为应当进行劝阻；对不听劝阻的，应当向公安机关报告。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第十四条</w:t>
      </w:r>
      <w:r>
        <w:rPr>
          <w:rFonts w:ascii="仿宋_GB2312" w:hAnsi="仿宋_GB2312" w:cs="仿宋_GB2312" w:hint="eastAsia"/>
          <w:sz w:val="32"/>
          <w:szCs w:val="32"/>
        </w:rPr>
        <w:t xml:space="preserve"> 有下列行为之一的，由公安机关责令停止燃放烟花爆竹，对个人处以一百元以上五百元以下罚款，对单位处以五千元以上一万元以下罚款；构成违反治安管理行为的，由公安机关依法给予治安管理处罚；构成犯罪的，依法追究刑事责任：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（一）违反本条例第六条、第七条第二款规定，在禁止的区域、地点和时间段燃放烟花爆竹的；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（二）违反本条例第八条规定，燃放不符合本条例规定种类烟花爆竹的；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（三）违反本条例第十一条规定，以危害公共安全和人身、财产安全的方式燃放烟花爆竹的。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第十五条</w:t>
      </w:r>
      <w:r>
        <w:rPr>
          <w:rFonts w:ascii="仿宋_GB2312" w:hAnsi="仿宋_GB2312" w:cs="仿宋_GB2312" w:hint="eastAsia"/>
          <w:sz w:val="32"/>
          <w:szCs w:val="32"/>
        </w:rPr>
        <w:t xml:space="preserve"> 违反本条例规定的其他行为，法律法规已有法律责任规定的，从其规定。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第十六条</w:t>
      </w:r>
      <w:r>
        <w:rPr>
          <w:rFonts w:ascii="仿宋_GB2312" w:hAnsi="仿宋_GB2312" w:cs="仿宋_GB2312" w:hint="eastAsia"/>
          <w:sz w:val="32"/>
          <w:szCs w:val="32"/>
        </w:rPr>
        <w:t xml:space="preserve"> 国家机关及其工作人员在烟花爆竹安全管理工作中，滥用职权、玩忽职守、徇私舞弊的，由所在单位或者有权机关依法给予政务处分；构成犯罪的，依法追究刑事责任。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sz w:val="32"/>
          <w:szCs w:val="32"/>
        </w:rPr>
        <w:t>第十七条</w:t>
      </w:r>
      <w:r>
        <w:rPr>
          <w:rFonts w:ascii="仿宋_GB2312" w:hAnsi="仿宋_GB2312" w:cs="仿宋_GB2312" w:hint="eastAsia"/>
          <w:sz w:val="32"/>
          <w:szCs w:val="32"/>
        </w:rPr>
        <w:t xml:space="preserve"> 本条例自</w:t>
      </w:r>
      <w:r>
        <w:rPr>
          <w:rFonts w:cs="仿宋_GB2312" w:hint="eastAsia" w:ascii="仿宋_GB2312" w:hAnsi="仿宋_GB2312"/>
          <w:sz w:val="32"/>
          <w:szCs w:val="32"/>
        </w:rPr>
        <w:t>2021</w:t>
      </w:r>
      <w:r>
        <w:rPr>
          <w:rFonts w:ascii="仿宋_GB2312" w:hAnsi="仿宋_GB2312" w:cs="仿宋_GB2312" w:hint="eastAsia"/>
          <w:sz w:val="32"/>
          <w:szCs w:val="32"/>
        </w:rPr>
        <w:t>年</w:t>
      </w:r>
      <w:r>
        <w:rPr>
          <w:rFonts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月</w:t>
      </w:r>
      <w:r>
        <w:rPr>
          <w:rFonts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/>
          <w:sz w:val="32"/>
          <w:szCs w:val="32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32"/>
          <w:szCs w:val="32"/>
        </w:rPr>
      </w:pPr>
      <w:r>
        <w:rPr>
          <w:rFonts w:eastAsia="宋体" w:cs="宋体" w:hint="eastAsia" w:ascii="宋体" w:hAnsi="宋体"/>
          <w:b/>
          <w:bCs/>
          <w:color w:val="000000"/>
          <w:sz w:val="32"/>
          <w:szCs w:val="32"/>
        </w:rPr>
      </w:r>
    </w:p>
    <w:sectPr>
      <w:headerReference w:type="default" r:id="rId2"/>
      <w:footerReference w:type="default" r:id="rId3"/>
      <w:type w:val="nextPage"/>
      <w:pgSz w:w="11906" w:h="16838"/>
      <w:pgMar w:left="1587" w:right="1474" w:gutter="0" w:header="851" w:top="2098" w:footer="1020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auto"/>
    <w:pitch w:val="default"/>
  </w:font>
  <w:font w:name="Tahoma">
    <w:charset w:val="00" w:characterSet="windows-1252"/>
    <w:family w:val="swiss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 w:val="18"/>
      </w:rPr>
    </w:pPr>
    <w:r>
      <w:rPr>
        <w:rFonts w:hint="eastAsia"/>
        <w:sz w:val="18"/>
      </w:rPr>
      <w:t xml:space="preserve"> </w:t>
    </w:r>
    <w:r>
      <mc:AlternateContent>
        <mc:Choice Requires="wps">
          <w:drawing>
            <wp:anchor distT="0" distB="0" distL="114935" distR="114935" simplePos="0" relativeHeight="6" behindDoc="1" locked="0" layoutInCell="0" allowOverlap="1">
              <wp:simplePos x="0" y="0"/>
              <wp:positionH relativeFrom="margin">
                <wp:posOffset>4985385</wp:posOffset>
              </wp:positionH>
              <wp:positionV relativeFrom="paragraph">
                <wp:posOffset>-192405</wp:posOffset>
              </wp:positionV>
              <wp:extent cx="673735" cy="30480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735" cy="304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3.05pt;height:24pt;mso-wrap-distance-left:9.05pt;mso-wrap-distance-right:9.05pt;mso-wrap-distance-top:0pt;mso-wrap-distance-bottom:0pt;margin-top:-15.15pt;mso-position-vertical-relative:text;margin-left:392.55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0" simplePos="0" relativeHeight="11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-139065</wp:posOffset>
              </wp:positionV>
              <wp:extent cx="10033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9.1pt;mso-wrap-distance-left:9.05pt;mso-wrap-distance-right:0pt;mso-wrap-distance-top:0pt;mso-wrap-distance-bottom:0pt;margin-top:-10.95pt;mso-position-vertical-relative:text;margin-left:434.3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5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character" w:styleId="FontStyle16">
    <w:name w:val="Font Style16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FontStyle15">
    <w:name w:val="Font Style15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FontStyle13">
    <w:name w:val="Font Style13"/>
    <w:basedOn w:val="Style13"/>
    <w:qFormat/>
    <w:rPr>
      <w:rFonts w:ascii="Arial" w:hAnsi="Arial" w:cs="Arial"/>
      <w:color w:val="000000"/>
      <w:sz w:val="26"/>
      <w:szCs w:val="26"/>
    </w:rPr>
  </w:style>
  <w:style w:type="character" w:styleId="Strong">
    <w:name w:val="Strong"/>
    <w:basedOn w:val="Style13"/>
    <w:qFormat/>
    <w:rPr>
      <w:b/>
      <w:bCs/>
    </w:rPr>
  </w:style>
  <w:style w:type="character" w:styleId="Char">
    <w:name w:val="批注文字 Char"/>
    <w:basedOn w:val="Style13"/>
    <w:qFormat/>
    <w:rPr>
      <w:kern w:val="2"/>
      <w:sz w:val="32"/>
      <w:szCs w:val="32"/>
    </w:rPr>
  </w:style>
  <w:style w:type="character" w:styleId="1Char">
    <w:name w:val="标题 1 Char"/>
    <w:basedOn w:val="Style13"/>
    <w:qFormat/>
    <w:rPr>
      <w:b/>
      <w:bCs/>
      <w:kern w:val="2"/>
      <w:sz w:val="44"/>
      <w:szCs w:val="44"/>
    </w:rPr>
  </w:style>
  <w:style w:type="character" w:styleId="Char1">
    <w:name w:val="页眉 Char"/>
    <w:basedOn w:val="Style13"/>
    <w:qFormat/>
    <w:rPr>
      <w:kern w:val="2"/>
      <w:sz w:val="18"/>
      <w:szCs w:val="18"/>
    </w:rPr>
  </w:style>
  <w:style w:type="character" w:styleId="Char2">
    <w:name w:val="日期 Char"/>
    <w:basedOn w:val="Style13"/>
    <w:qFormat/>
    <w:rPr>
      <w:kern w:val="2"/>
      <w:sz w:val="34"/>
      <w:szCs w:val="24"/>
    </w:rPr>
  </w:style>
  <w:style w:type="character" w:styleId="FontStyle12">
    <w:name w:val="Font Style12"/>
    <w:basedOn w:val="Style13"/>
    <w:qFormat/>
    <w:rPr>
      <w:rFonts w:ascii="Arial" w:hAnsi="Arial" w:cs="Arial"/>
      <w:color w:val="000000"/>
      <w:sz w:val="20"/>
      <w:szCs w:val="20"/>
    </w:rPr>
  </w:style>
  <w:style w:type="character" w:styleId="FontStyle14">
    <w:name w:val="Font Style14"/>
    <w:basedOn w:val="Style13"/>
    <w:qFormat/>
    <w:rPr>
      <w:rFonts w:ascii="Arial" w:hAnsi="Arial" w:cs="Arial"/>
      <w:color w:val="000000"/>
      <w:spacing w:val="-10"/>
      <w:sz w:val="28"/>
      <w:szCs w:val="28"/>
    </w:rPr>
  </w:style>
  <w:style w:type="character" w:styleId="FontStyle11">
    <w:name w:val="Font Style11"/>
    <w:basedOn w:val="Style13"/>
    <w:qFormat/>
    <w:rPr>
      <w:rFonts w:ascii="Arial" w:hAnsi="Arial" w:cs="Arial"/>
      <w:color w:val="000000"/>
      <w:sz w:val="36"/>
      <w:szCs w:val="36"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仿宋_GB2312" w:hAnsi="仿宋_GB2312" w:eastAsia="仿宋_GB2312"/>
      <w:b/>
      <w:bCs/>
      <w:sz w:val="4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14">
    <w:name w:val="批注文字"/>
    <w:basedOn w:val="Normal"/>
    <w:qFormat/>
    <w:pPr>
      <w:jc w:val="start"/>
    </w:pPr>
    <w:rPr>
      <w:kern w:val="2"/>
      <w:sz w:val="32"/>
      <w:szCs w:val="32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NewNewNewNewNewNewNewNewNewNew">
    <w:name w:val="正文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NewNewNewNewNewNewNewNew">
    <w:name w:val="正文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Style51">
    <w:name w:val="Style5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21">
    <w:name w:val="Style2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New">
    <w:name w:val="正文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91">
    <w:name w:val="Style9"/>
    <w:basedOn w:val="Normal"/>
    <w:qFormat/>
    <w:pPr>
      <w:spacing w:lineRule="exact" w:line="624"/>
      <w:jc w:val="start"/>
    </w:pPr>
    <w:rPr>
      <w:rFonts w:ascii="Arial" w:hAnsi="Arial" w:cs="Arial"/>
      <w:kern w:val="0"/>
      <w:sz w:val="24"/>
    </w:rPr>
  </w:style>
  <w:style w:type="paragraph" w:styleId="Char3">
    <w:name w:val="Char"/>
    <w:basedOn w:val="Normal"/>
    <w:qFormat/>
    <w:pPr/>
    <w:rPr>
      <w:rFonts w:ascii="Tahoma" w:hAnsi="Tahoma" w:eastAsia="仿宋" w:cs="Tahoma"/>
      <w:sz w:val="24"/>
    </w:rPr>
  </w:style>
  <w:style w:type="paragraph" w:styleId="Style31">
    <w:name w:val="Style3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Style41">
    <w:name w:val="Style4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BodyTextIndent">
    <w:name w:val="Body Text Indent"/>
    <w:basedOn w:val="Normal"/>
    <w:pPr>
      <w:ind w:firstLine="600" w:start="0" w:end="0"/>
    </w:pPr>
    <w:rPr>
      <w:rFonts w:eastAsia="仿宋_GB2312"/>
      <w:sz w:val="32"/>
      <w:szCs w:val="20"/>
    </w:rPr>
  </w:style>
  <w:style w:type="paragraph" w:styleId="NewNewNewNewNewNewNew">
    <w:name w:val="正文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Style17">
    <w:name w:val="普通(网站)"/>
    <w:basedOn w:val="Normal"/>
    <w:qFormat/>
    <w:pPr>
      <w:widowControl/>
      <w:spacing w:before="280" w:after="280"/>
      <w:jc w:val="start"/>
    </w:pPr>
    <w:rPr>
      <w:rFonts w:ascii="宋体" w:hAnsi="宋体" w:eastAsia="仿宋" w:cs="宋体"/>
      <w:kern w:val="0"/>
      <w:sz w:val="24"/>
    </w:rPr>
  </w:style>
  <w:style w:type="paragraph" w:styleId="Style18">
    <w:name w:val="Style1"/>
    <w:basedOn w:val="Normal"/>
    <w:qFormat/>
    <w:pPr>
      <w:spacing w:lineRule="exact" w:line="648"/>
      <w:ind w:firstLine="1450" w:start="0" w:end="0"/>
      <w:jc w:val="start"/>
    </w:pPr>
    <w:rPr>
      <w:rFonts w:ascii="Arial" w:hAnsi="Arial" w:cs="Arial"/>
      <w:kern w:val="0"/>
      <w:sz w:val="24"/>
    </w:rPr>
  </w:style>
  <w:style w:type="paragraph" w:styleId="NewNewNewNewNewNewNewNewNewNewNewNew">
    <w:name w:val="正文 New New New New New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0"/>
      <w:lang w:bidi="ar-SA" w:val="en-US" w:eastAsia="zh-CN"/>
    </w:rPr>
  </w:style>
  <w:style w:type="paragraph" w:styleId="Char4">
    <w:name w:val=" Char"/>
    <w:basedOn w:val="Normal"/>
    <w:qFormat/>
    <w:pPr/>
    <w:rPr>
      <w:rFonts w:ascii="Tahoma" w:hAnsi="Tahoma" w:eastAsia="仿宋" w:cs="Tahoma"/>
      <w:sz w:val="24"/>
    </w:rPr>
  </w:style>
  <w:style w:type="paragraph" w:styleId="Style81">
    <w:name w:val="Style8"/>
    <w:basedOn w:val="Normal"/>
    <w:qFormat/>
    <w:pPr>
      <w:jc w:val="start"/>
    </w:pPr>
    <w:rPr>
      <w:rFonts w:ascii="Arial" w:hAnsi="Arial" w:cs="Arial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2017-12-18T09:13:00Z</dcterms:created>
  <dc:creator>Administrator</dc:creator>
  <dc:description/>
  <dc:language>en-US</dc:language>
  <cp:lastModifiedBy>英宝珠</cp:lastModifiedBy>
  <cp:lastPrinted>2019-12-06T11:30:00Z</cp:lastPrinted>
  <dcterms:modified xsi:type="dcterms:W3CDTF">2020-10-19T13:19:41Z</dcterms:modified>
  <cp:revision>25</cp:revision>
  <dc:subject/>
  <dc:title>通人常发[2016]31号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