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ew"/>
        <w:widowControl/>
        <w:ind w:firstLineChars="200" w:startChars="0" w:start="0" w:endChars="0" w:end="0"/>
        <w:jc w:val="start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spacing w:lineRule="exact" w:line="600"/>
        <w:jc w:val="center"/>
        <w:rPr>
          <w:rFonts w:ascii="宋体;Droid Sans Fallback" w:hAnsi="宋体;Droid Sans Fallback" w:eastAsia="宋体;Droid Sans Fallback" w:cs="宋体;Droid Sans Fallback" w:hint="eastAsia"/>
          <w:b/>
          <w:bCs/>
          <w:color w:val="000000"/>
          <w:kern w:val="2"/>
          <w:sz w:val="44"/>
          <w:szCs w:val="44"/>
          <w:highlight w:val="none"/>
        </w:rPr>
      </w:pPr>
      <w:r>
        <w:rPr>
          <w:rFonts w:ascii="宋体;Droid Sans Fallback" w:hAnsi="宋体;Droid Sans Fallback" w:cs="宋体;Droid Sans Fallback" w:hint="eastAsia" w:eastAsia="宋体;Droid Sans Fallback"/>
          <w:b/>
          <w:bCs/>
          <w:color w:val="000000"/>
          <w:kern w:val="2"/>
          <w:sz w:val="44"/>
          <w:szCs w:val="44"/>
        </w:rPr>
        <w:t>吉林省人民代表大会常务委员会</w:t>
      </w:r>
    </w:p>
    <w:p>
      <w:pPr>
        <w:pStyle w:val="Normal"/>
        <w:spacing w:lineRule="exact" w:line="600"/>
        <w:jc w:val="center"/>
        <w:rPr>
          <w:rFonts w:ascii="宋体;Droid Sans Fallback" w:hAnsi="宋体;Droid Sans Fallback" w:eastAsia="宋体;Droid Sans Fallback" w:cs="宋体;Droid Sans Fallback" w:hint="eastAsia"/>
          <w:b/>
          <w:bCs/>
          <w:color w:val="000000"/>
          <w:kern w:val="2"/>
          <w:sz w:val="44"/>
          <w:szCs w:val="44"/>
          <w:highlight w:val="none"/>
        </w:rPr>
      </w:pPr>
      <w:r>
        <w:rPr>
          <w:rFonts w:ascii="宋体;Droid Sans Fallback" w:hAnsi="宋体;Droid Sans Fallback" w:cs="宋体;Droid Sans Fallback" w:hint="eastAsia" w:eastAsia="宋体;Droid Sans Fallback"/>
          <w:b/>
          <w:bCs/>
          <w:color w:val="000000"/>
          <w:kern w:val="2"/>
          <w:sz w:val="44"/>
          <w:szCs w:val="44"/>
        </w:rPr>
        <w:t>关于废止《吉林省信访条例》的决定</w:t>
      </w:r>
    </w:p>
    <w:p>
      <w:pPr>
        <w:pStyle w:val="Style15"/>
        <w:rPr>
          <w:rFonts w:ascii="宋体;Droid Sans Fallback" w:hAnsi="宋体;Droid Sans Fallback" w:eastAsia="宋体;Droid Sans Fallback" w:cs="宋体;Droid Sans Fallback" w:hint="eastAsia"/>
          <w:b/>
          <w:bCs/>
          <w:color w:val="000000"/>
          <w:kern w:val="2"/>
          <w:sz w:val="44"/>
          <w:szCs w:val="44"/>
          <w:highlight w:val="none"/>
        </w:rPr>
      </w:pPr>
      <w:r>
        <w:rPr>
          <w:rFonts w:eastAsia="宋体;Droid Sans Fallback" w:cs="宋体;Droid Sans Fallback" w:hint="eastAsia" w:ascii="宋体;Droid Sans Fallback" w:hAnsi="宋体;Droid Sans Fallback"/>
          <w:b/>
          <w:bCs/>
          <w:color w:val="000000"/>
          <w:kern w:val="2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sz w:val="32"/>
          <w:szCs w:val="32"/>
        </w:rPr>
        <w:t>（</w:t>
      </w:r>
      <w:r>
        <w:rPr>
          <w:rFonts w:eastAsia="楷体" w:cs="楷体" w:hint="eastAsia" w:ascii="楷体" w:hAnsi="楷体"/>
          <w:sz w:val="32"/>
          <w:szCs w:val="32"/>
        </w:rPr>
        <w:t>2022</w:t>
      </w:r>
      <w:r>
        <w:rPr>
          <w:rFonts w:ascii="楷体" w:hAnsi="楷体" w:cs="楷体" w:hint="eastAsia" w:eastAsia="楷体"/>
          <w:sz w:val="32"/>
          <w:szCs w:val="32"/>
        </w:rPr>
        <w:t>年</w:t>
      </w:r>
      <w:r>
        <w:rPr>
          <w:rFonts w:eastAsia="楷体" w:cs="楷体" w:hint="eastAsia" w:ascii="楷体" w:hAnsi="楷体"/>
          <w:sz w:val="32"/>
          <w:szCs w:val="32"/>
        </w:rPr>
        <w:t>9</w:t>
      </w:r>
      <w:r>
        <w:rPr>
          <w:rFonts w:ascii="楷体" w:hAnsi="楷体" w:cs="楷体" w:hint="eastAsia" w:eastAsia="楷体"/>
          <w:sz w:val="32"/>
          <w:szCs w:val="32"/>
        </w:rPr>
        <w:t>月</w:t>
      </w:r>
      <w:r>
        <w:rPr>
          <w:rFonts w:eastAsia="楷体" w:cs="楷体" w:hint="eastAsia" w:ascii="楷体" w:hAnsi="楷体"/>
          <w:sz w:val="32"/>
          <w:szCs w:val="32"/>
        </w:rPr>
        <w:t>28</w:t>
      </w:r>
      <w:r>
        <w:rPr>
          <w:rFonts w:ascii="楷体" w:hAnsi="楷体" w:cs="楷体" w:hint="eastAsia" w:eastAsia="楷体"/>
          <w:sz w:val="32"/>
          <w:szCs w:val="32"/>
        </w:rPr>
        <w:t>日吉林省第十三届人民代表大会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sz w:val="32"/>
          <w:szCs w:val="32"/>
        </w:rPr>
        <w:t>常务委员会第三十六次会议通过）</w:t>
      </w:r>
    </w:p>
    <w:p>
      <w:pPr>
        <w:pStyle w:val="New"/>
        <w:widowControl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spacing w:lineRule="exact" w:line="600"/>
        <w:ind w:firstLineChars="200" w:startChars="0" w:start="0" w:endChars="0" w:end="0"/>
        <w:jc w:val="both"/>
        <w:rPr>
          <w:rFonts w:ascii="仿宋" w:hAnsi="仿宋" w:eastAsia="仿宋" w:cs="宋体;Droid Sans Fallback" w:hint="eastAsia"/>
          <w:b w:val="false"/>
          <w:bCs w:val="false"/>
          <w:sz w:val="32"/>
          <w:szCs w:val="24"/>
          <w:lang w:val="zh-CN"/>
        </w:rPr>
      </w:pPr>
      <w:r>
        <w:rPr>
          <w:rFonts w:ascii="仿宋" w:hAnsi="仿宋" w:cs="宋体;Droid Sans Fallback" w:hint="eastAsia" w:eastAsia="仿宋"/>
          <w:b w:val="false"/>
          <w:bCs w:val="false"/>
          <w:sz w:val="32"/>
          <w:szCs w:val="24"/>
          <w:lang w:val="zh-CN"/>
        </w:rPr>
        <w:t>吉林省第十三届人民代表大会常务委员会第三十六次会议决定废止《吉林省信访条例》。</w:t>
      </w:r>
    </w:p>
    <w:p>
      <w:pPr>
        <w:pStyle w:val="Normal"/>
        <w:spacing w:lineRule="exact" w:line="600"/>
        <w:ind w:firstLineChars="200" w:startChars="0" w:start="0" w:endChars="0" w:end="0"/>
        <w:jc w:val="both"/>
        <w:rPr>
          <w:rFonts w:ascii="仿宋" w:hAnsi="仿宋" w:eastAsia="仿宋" w:cs="宋体;Droid Sans Fallback" w:hint="eastAsia"/>
          <w:b w:val="false"/>
          <w:bCs w:val="false"/>
          <w:sz w:val="32"/>
          <w:szCs w:val="24"/>
          <w:lang w:val="zh-CN"/>
        </w:rPr>
      </w:pPr>
      <w:r>
        <w:rPr>
          <w:rFonts w:eastAsia="仿宋" w:cs="宋体;Droid Sans Fallback" w:hint="eastAsia" w:ascii="仿宋" w:hAnsi="仿宋"/>
          <w:b w:val="false"/>
          <w:bCs w:val="false"/>
          <w:sz w:val="32"/>
          <w:szCs w:val="24"/>
          <w:lang w:val="zh-CN"/>
        </w:rPr>
        <w:t xml:space="preserve"> </w:t>
      </w:r>
      <w:r>
        <w:rPr>
          <w:rFonts w:ascii="仿宋" w:hAnsi="仿宋" w:cs="宋体;Droid Sans Fallback" w:hint="eastAsia" w:eastAsia="仿宋"/>
          <w:b w:val="false"/>
          <w:bCs w:val="false"/>
          <w:sz w:val="32"/>
          <w:szCs w:val="24"/>
          <w:lang w:val="zh-CN"/>
        </w:rPr>
        <w:t xml:space="preserve">本决定自公布之日起施行。  </w:t>
      </w:r>
    </w:p>
    <w:sectPr>
      <w:footerReference w:type="default" r:id="rId2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Nimbus Roman No9 L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altName w:val="DejaVu Sans"/>
    <w:charset w:val="00" w:characterSet="windows-1252"/>
    <w:family w:val="swiss"/>
    <w:pitch w:val="default"/>
  </w:font>
  <w:font w:name="等线">
    <w:altName w:val="汉仪中宋简"/>
    <w:charset w:val="00" w:characterSet="windows-1252"/>
    <w:family w:val="auto"/>
    <w:pitch w:val="default"/>
  </w:font>
  <w:font w:name="仿宋">
    <w:charset w:val="86"/>
    <w:family w:val="auto"/>
    <w:pitch w:val="default"/>
  </w:font>
  <w:font w:name="宋体">
    <w:altName w:val="Droid Sans Fallback"/>
    <w:charset w:val="00" w:characterSet="windows-1252"/>
    <w:family w:val="auto"/>
    <w:pitch w:val="default"/>
  </w:font>
  <w:font w:name="楷体">
    <w:charset w:val="86"/>
    <w:family w:val="auto"/>
    <w:pitch w:val="default"/>
  </w:font>
  <w:font w:name="宋体">
    <w:altName w:val="方正书宋_GBK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ew1"/>
      <w:jc w:val="end"/>
      <w:rPr>
        <w:rFonts w:ascii="宋体;方正书宋_GBK" w:hAnsi="宋体;方正书宋_GBK" w:eastAsia="宋体;方正书宋_GBK" w:cs="宋体;方正书宋_GBK"/>
        <w:sz w:val="28"/>
        <w:szCs w:val="28"/>
      </w:rPr>
    </w:pPr>
    <w:r>
      <w:rPr>
        <w:rFonts w:eastAsia="宋体;方正书宋_GBK" w:cs="宋体;方正书宋_GBK" w:ascii="宋体;方正书宋_GBK" w:hAnsi="宋体;方正书宋_GBK"/>
        <w:sz w:val="28"/>
        <w:szCs w:val="28"/>
      </w:rPr>
      <w:fldChar w:fldCharType="begin"/>
    </w:r>
    <w:r>
      <w:rPr>
        <w:rFonts w:eastAsia="宋体;方正书宋_GBK" w:cs="宋体;方正书宋_GBK" w:ascii="宋体;方正书宋_GBK" w:hAnsi="宋体;方正书宋_GBK"/>
        <w:sz w:val="28"/>
        <w:szCs w:val="28"/>
      </w:rPr>
      <w:instrText xml:space="preserve"> PAGE </w:instrText>
    </w:r>
    <w:r>
      <w:rPr>
        <w:rFonts w:eastAsia="宋体;方正书宋_GBK" w:cs="宋体;方正书宋_GBK" w:ascii="宋体;方正书宋_GBK" w:hAnsi="宋体;方正书宋_GBK"/>
        <w:sz w:val="28"/>
        <w:szCs w:val="28"/>
      </w:rPr>
      <w:fldChar w:fldCharType="separate"/>
    </w:r>
    <w:r>
      <w:rPr>
        <w:rFonts w:eastAsia="宋体;方正书宋_GBK" w:cs="宋体;方正书宋_GBK" w:ascii="宋体;方正书宋_GBK" w:hAnsi="宋体;方正书宋_GBK"/>
        <w:sz w:val="28"/>
        <w:szCs w:val="28"/>
      </w:rPr>
      <w:t>1</w:t>
    </w:r>
    <w:r>
      <w:rPr>
        <w:rFonts w:eastAsia="宋体;方正书宋_GBK" w:cs="宋体;方正书宋_GBK" w:ascii="宋体;方正书宋_GBK" w:hAnsi="宋体;方正书宋_GBK"/>
        <w:sz w:val="28"/>
        <w:szCs w:val="28"/>
      </w:rPr>
      <w:fldChar w:fldCharType="end"/>
    </w:r>
  </w:p>
  <w:p>
    <w:pPr>
      <w:pStyle w:val="New1"/>
      <w:rPr>
        <w:rFonts w:ascii="宋体;方正书宋_GBK" w:hAnsi="宋体;方正书宋_GBK" w:eastAsia="宋体;方正书宋_GBK" w:cs="宋体;方正书宋_GBK"/>
        <w:sz w:val="28"/>
        <w:szCs w:val="28"/>
      </w:rPr>
    </w:pPr>
    <w:r>
      <w:rPr>
        <w:rFonts w:eastAsia="宋体;方正书宋_GBK" w:cs="宋体;方正书宋_GBK" w:ascii="宋体;方正书宋_GBK" w:hAnsi="宋体;方正书宋_GBK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kern w:val="2"/>
      <w:sz w:val="21"/>
      <w:szCs w:val="20"/>
      <w:lang w:val="en-US" w:eastAsia="zh-CN" w:bidi="hi-I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正文缩进"/>
    <w:basedOn w:val="Normal"/>
    <w:next w:val="Normal"/>
    <w:qFormat/>
    <w:pPr>
      <w:ind w:firstLineChars="200" w:startChars="0" w:start="0" w:endChars="0" w:end="0"/>
    </w:pPr>
    <w:rPr>
      <w:rFonts w:ascii="Calibri;DejaVu Sans" w:hAnsi="Calibri;DejaVu Sans" w:eastAsia="宋体;Droid Sans Fallback" w:cs="Times New Roman;Nimbus Roman No9 L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;Nimbus Roman No9 L" w:hAnsi="Times New Roman;Nimbus Roman No9 L" w:cs="Times New Roman;Nimbus Roman No9 L"/>
      <w:sz w:val="18"/>
    </w:rPr>
  </w:style>
  <w:style w:type="paragraph" w:styleId="NewNewNewNewNewNewNewNewNewNewNewNewNewNewNewNewNew">
    <w:name w:val="正文 New New New New New New New New New New New New New New New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kern w:val="2"/>
      <w:sz w:val="21"/>
      <w:szCs w:val="24"/>
      <w:lang w:bidi="ar-SA" w:val="en-US" w:eastAsia="zh-CN"/>
    </w:rPr>
  </w:style>
  <w:style w:type="paragraph" w:styleId="NewNewNew">
    <w:name w:val="正文 New New New"/>
    <w:qFormat/>
    <w:pPr>
      <w:widowControl w:val="false"/>
      <w:bidi w:val="0"/>
      <w:jc w:val="both"/>
    </w:pPr>
    <w:rPr>
      <w:rFonts w:ascii="等线;汉仪中宋简" w:hAnsi="等线;汉仪中宋简" w:eastAsia="等线;汉仪中宋简" w:cs="黑体"/>
      <w:color w:val="auto"/>
      <w:kern w:val="2"/>
      <w:sz w:val="21"/>
      <w:szCs w:val="22"/>
      <w:lang w:val="en-US" w:eastAsia="zh-CN" w:bidi="hi-IN"/>
    </w:rPr>
  </w:style>
  <w:style w:type="paragraph" w:styleId="NewNew">
    <w:name w:val="正文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kern w:val="2"/>
      <w:sz w:val="21"/>
      <w:szCs w:val="20"/>
      <w:lang w:bidi="ar-SA" w:val="en-US" w:eastAsia="zh-CN"/>
    </w:rPr>
  </w:style>
  <w:style w:type="paragraph" w:styleId="New">
    <w:name w:val="正文 New"/>
    <w:qFormat/>
    <w:pPr>
      <w:widowControl w:val="false"/>
      <w:bidi w:val="0"/>
      <w:jc w:val="both"/>
    </w:pPr>
    <w:rPr>
      <w:rFonts w:ascii="等线;汉仪中宋简" w:hAnsi="等线;汉仪中宋简" w:eastAsia="等线;汉仪中宋简" w:cs="黑体"/>
      <w:color w:val="auto"/>
      <w:kern w:val="2"/>
      <w:sz w:val="21"/>
      <w:szCs w:val="22"/>
      <w:lang w:val="en-US" w:eastAsia="zh-CN" w:bidi="hi-IN"/>
    </w:rPr>
  </w:style>
  <w:style w:type="paragraph" w:styleId="NewNewNewNew">
    <w:name w:val="正文 New New New New"/>
    <w:qFormat/>
    <w:pPr>
      <w:widowControl w:val="false"/>
      <w:bidi w:val="0"/>
      <w:jc w:val="both"/>
    </w:pPr>
    <w:rPr>
      <w:rFonts w:ascii="等线;汉仪中宋简" w:hAnsi="等线;汉仪中宋简" w:eastAsia="等线;汉仪中宋简" w:cs="黑体"/>
      <w:color w:val="auto"/>
      <w:kern w:val="2"/>
      <w:sz w:val="21"/>
      <w:szCs w:val="22"/>
      <w:lang w:val="en-US" w:eastAsia="zh-CN" w:bidi="hi-IN"/>
    </w:rPr>
  </w:style>
  <w:style w:type="paragraph" w:styleId="NewNewNewNew1">
    <w:name w:val="页脚 New New New New"/>
    <w:basedOn w:val="NewNewNewNew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等线;汉仪中宋简" w:hAnsi="等线;汉仪中宋简" w:eastAsia="等线;汉仪中宋简" w:cs="黑体"/>
      <w:sz w:val="18"/>
      <w:szCs w:val="18"/>
    </w:rPr>
  </w:style>
  <w:style w:type="paragraph" w:styleId="NewNew1">
    <w:name w:val="页脚 New New"/>
    <w:basedOn w:val="NewNew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New1">
    <w:name w:val="页脚 New"/>
    <w:basedOn w:val="New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等线;汉仪中宋简" w:hAnsi="等线;汉仪中宋简" w:eastAsia="等线;汉仪中宋简" w:cs="黑体"/>
      <w:sz w:val="18"/>
      <w:szCs w:val="18"/>
    </w:rPr>
  </w:style>
  <w:style w:type="paragraph" w:styleId="NewNewNew1">
    <w:name w:val="页脚 New New New"/>
    <w:basedOn w:val="NewNewNew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等线;汉仪中宋简" w:hAnsi="等线;汉仪中宋简" w:eastAsia="等线;汉仪中宋简" w:cs="黑体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2011-09-15T03:13:00Z</dcterms:created>
  <dc:creator>Tian</dc:creator>
  <dc:description/>
  <dc:language>en-US</dc:language>
  <cp:lastModifiedBy>user</cp:lastModifiedBy>
  <cp:lastPrinted>2021-07-30T15:42:00Z</cp:lastPrinted>
  <dcterms:modified xsi:type="dcterms:W3CDTF">2022-11-03T22:17:41Z</dcterms:modified>
  <cp:revision>7</cp:revision>
  <dc:subject/>
  <dc:title>吉人社会委发﹝2020﹞1号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93A37E2537BE44A0A4BA7EFD56DE5223</vt:lpwstr>
  </property>
  <property fmtid="{D5CDD505-2E9C-101B-9397-08002B2CF9AE}" pid="3" name="KSOProductBuildVer">
    <vt:lpwstr>2052-11.8.2.10489</vt:lpwstr>
  </property>
</Properties>
</file>