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both"/>
        <w:rPr>
          <w:rFonts w:ascii="宋体" w:hAnsi="宋体" w:eastAsia="宋体" w:cs="宋体" w:hint="eastAsia"/>
        </w:rPr>
      </w:pPr>
      <w:r>
        <w:rPr>
          <w:rFonts w:eastAsia="宋体" w:cs="宋体" w:hint="eastAsia" w:ascii="宋体" w:hAnsi="宋体"/>
        </w:rPr>
      </w:r>
    </w:p>
    <w:p>
      <w:pPr>
        <w:pStyle w:val="Normal"/>
        <w:spacing w:lineRule="exact" w:line="578"/>
        <w:rPr>
          <w:rFonts w:ascii="宋体" w:hAnsi="宋体" w:eastAsia="宋体" w:cs="宋体" w:hint="eastAsia"/>
        </w:rPr>
      </w:pPr>
      <w:r>
        <w:rPr>
          <w:rFonts w:eastAsia="宋体" w:cs="宋体" w:hint="eastAsia" w:ascii="宋体" w:hAnsi="宋体"/>
        </w:rPr>
      </w:r>
    </w:p>
    <w:p>
      <w:pPr>
        <w:pStyle w:val="Normal"/>
        <w:spacing w:lineRule="exact" w:line="578"/>
        <w:jc w:val="center"/>
        <w:rPr>
          <w:rFonts w:ascii="宋体" w:hAnsi="宋体" w:eastAsia="方正小标宋简体;宋体" w:cs="宋体" w:hint="eastAsia"/>
          <w:bCs/>
          <w:spacing w:val="-6"/>
          <w:sz w:val="44"/>
          <w:szCs w:val="44"/>
        </w:rPr>
      </w:pPr>
      <w:r>
        <w:rPr>
          <w:rFonts w:ascii="宋体" w:hAnsi="宋体" w:cs="宋体" w:hint="eastAsia" w:eastAsia="方正小标宋简体;宋体"/>
          <w:bCs/>
          <w:spacing w:val="-6"/>
          <w:sz w:val="44"/>
          <w:szCs w:val="44"/>
        </w:rPr>
        <w:t>延边朝鲜族自治州养犬管理条例</w:t>
      </w:r>
    </w:p>
    <w:p>
      <w:pPr>
        <w:pStyle w:val="Normal"/>
        <w:spacing w:lineRule="exact" w:line="578"/>
        <w:ind w:firstLineChars="200" w:startChars="0" w:start="0" w:endChars="0" w:end="0"/>
        <w:rPr>
          <w:rFonts w:ascii="宋体" w:hAnsi="宋体" w:eastAsia="楷体_GB2312" w:cs="宋体" w:hint="eastAsia"/>
          <w:bCs/>
          <w:spacing w:val="-6"/>
          <w:sz w:val="44"/>
          <w:szCs w:val="44"/>
        </w:rPr>
      </w:pPr>
      <w:r>
        <w:rPr>
          <w:rFonts w:eastAsia="楷体_GB2312" w:cs="宋体" w:hint="eastAsia" w:ascii="宋体" w:hAnsi="宋体"/>
          <w:bCs/>
          <w:spacing w:val="-6"/>
          <w:sz w:val="44"/>
          <w:szCs w:val="44"/>
        </w:rPr>
      </w:r>
    </w:p>
    <w:p>
      <w:pPr>
        <w:pStyle w:val="Normal"/>
        <w:spacing w:lineRule="exact" w:line="578"/>
        <w:ind w:firstLineChars="0" w:firstLine="0" w:startChars="200" w:endChars="200"/>
        <w:rPr>
          <w:rFonts w:ascii="宋体" w:hAnsi="宋体" w:eastAsia="楷体_GB2312" w:cs="宋体" w:hint="eastAsia"/>
        </w:rPr>
      </w:pPr>
      <w:r>
        <w:rPr>
          <w:rFonts w:ascii="宋体" w:hAnsi="宋体" w:cs="宋体" w:hint="eastAsia" w:eastAsia="楷体_GB2312"/>
        </w:rPr>
        <w:t>（</w:t>
      </w:r>
      <w:r>
        <w:rPr>
          <w:rFonts w:eastAsia="楷体_GB2312" w:cs="宋体" w:hint="eastAsia" w:ascii="宋体" w:hAnsi="宋体"/>
          <w:spacing w:val="-4"/>
        </w:rPr>
        <w:t>2020</w:t>
      </w:r>
      <w:r>
        <w:rPr>
          <w:rFonts w:ascii="宋体" w:hAnsi="宋体" w:cs="宋体" w:hint="eastAsia" w:eastAsia="楷体_GB2312"/>
          <w:spacing w:val="-4"/>
        </w:rPr>
        <w:t>年</w:t>
      </w:r>
      <w:r>
        <w:rPr>
          <w:rFonts w:eastAsia="楷体_GB2312" w:cs="宋体" w:hint="eastAsia" w:ascii="宋体" w:hAnsi="宋体"/>
          <w:spacing w:val="-4"/>
        </w:rPr>
        <w:t>9</w:t>
      </w:r>
      <w:r>
        <w:rPr>
          <w:rFonts w:ascii="宋体" w:hAnsi="宋体" w:cs="宋体" w:hint="eastAsia" w:eastAsia="楷体_GB2312"/>
          <w:spacing w:val="-4"/>
        </w:rPr>
        <w:t>月</w:t>
      </w:r>
      <w:r>
        <w:rPr>
          <w:rFonts w:eastAsia="楷体_GB2312" w:cs="宋体" w:hint="eastAsia" w:ascii="宋体" w:hAnsi="宋体"/>
          <w:spacing w:val="-4"/>
        </w:rPr>
        <w:t>29</w:t>
      </w:r>
      <w:r>
        <w:rPr>
          <w:rFonts w:ascii="宋体" w:hAnsi="宋体" w:cs="宋体" w:hint="eastAsia" w:eastAsia="楷体_GB2312"/>
          <w:spacing w:val="-4"/>
        </w:rPr>
        <w:t>日延边朝鲜族自治州第十五届人民代表大会常务委员会第二十七次会议通过　</w:t>
      </w:r>
      <w:r>
        <w:rPr>
          <w:rFonts w:eastAsia="楷体_GB2312" w:cs="宋体" w:hint="eastAsia" w:ascii="宋体" w:hAnsi="宋体"/>
          <w:spacing w:val="-4"/>
        </w:rPr>
        <w:t>2020</w:t>
      </w:r>
      <w:r>
        <w:rPr>
          <w:rFonts w:ascii="宋体" w:hAnsi="宋体" w:cs="宋体" w:hint="eastAsia" w:eastAsia="楷体_GB2312"/>
          <w:spacing w:val="-4"/>
        </w:rPr>
        <w:t>年</w:t>
      </w:r>
      <w:r>
        <w:rPr>
          <w:rFonts w:eastAsia="楷体_GB2312" w:cs="宋体" w:hint="eastAsia" w:ascii="宋体" w:hAnsi="宋体"/>
          <w:spacing w:val="-4"/>
        </w:rPr>
        <w:t>11</w:t>
      </w:r>
      <w:r>
        <w:rPr>
          <w:rFonts w:ascii="宋体" w:hAnsi="宋体" w:cs="宋体" w:hint="eastAsia" w:eastAsia="楷体_GB2312"/>
          <w:spacing w:val="-4"/>
        </w:rPr>
        <w:t>月</w:t>
      </w:r>
      <w:r>
        <w:rPr>
          <w:rFonts w:eastAsia="楷体_GB2312" w:cs="宋体" w:hint="eastAsia" w:ascii="宋体" w:hAnsi="宋体"/>
          <w:spacing w:val="-4"/>
        </w:rPr>
        <w:t>27</w:t>
      </w:r>
      <w:r>
        <w:rPr>
          <w:rFonts w:ascii="宋体" w:hAnsi="宋体" w:cs="宋体" w:hint="eastAsia" w:eastAsia="楷体_GB2312"/>
          <w:spacing w:val="-4"/>
        </w:rPr>
        <w:t>日吉林省第十三届人民代表大会常务委员会第二十五次会议批准　</w:t>
      </w:r>
      <w:r>
        <w:rPr>
          <w:rFonts w:eastAsia="楷体_GB2312" w:cs="宋体" w:hint="eastAsia" w:ascii="宋体" w:hAnsi="宋体"/>
          <w:spacing w:val="-4"/>
        </w:rPr>
        <w:t>2020</w:t>
      </w:r>
      <w:r>
        <w:rPr>
          <w:rFonts w:ascii="宋体" w:hAnsi="宋体" w:cs="宋体" w:hint="eastAsia" w:eastAsia="楷体_GB2312"/>
          <w:spacing w:val="-4"/>
        </w:rPr>
        <w:t>年</w:t>
      </w:r>
      <w:r>
        <w:rPr>
          <w:rFonts w:eastAsia="楷体_GB2312" w:cs="宋体" w:hint="eastAsia" w:ascii="宋体" w:hAnsi="宋体"/>
          <w:spacing w:val="-4"/>
        </w:rPr>
        <w:t>12</w:t>
      </w:r>
      <w:r>
        <w:rPr>
          <w:rFonts w:ascii="宋体" w:hAnsi="宋体" w:cs="宋体" w:hint="eastAsia" w:eastAsia="楷体_GB2312"/>
          <w:spacing w:val="-4"/>
        </w:rPr>
        <w:t>月</w:t>
      </w:r>
      <w:r>
        <w:rPr>
          <w:rFonts w:eastAsia="楷体_GB2312" w:cs="宋体" w:hint="eastAsia" w:ascii="宋体" w:hAnsi="宋体"/>
          <w:spacing w:val="-4"/>
        </w:rPr>
        <w:t>18</w:t>
      </w:r>
      <w:r>
        <w:rPr>
          <w:rFonts w:ascii="宋体" w:hAnsi="宋体" w:cs="宋体" w:hint="eastAsia" w:eastAsia="楷体_GB2312"/>
          <w:spacing w:val="-4"/>
        </w:rPr>
        <w:t>日公布　</w:t>
      </w:r>
      <w:r>
        <w:rPr>
          <w:rFonts w:eastAsia="楷体_GB2312" w:cs="宋体" w:hint="eastAsia" w:ascii="宋体" w:hAnsi="宋体"/>
          <w:spacing w:val="-4"/>
        </w:rPr>
        <w:t>2021</w:t>
      </w:r>
      <w:r>
        <w:rPr>
          <w:rFonts w:ascii="宋体" w:hAnsi="宋体" w:cs="宋体" w:hint="eastAsia" w:eastAsia="楷体_GB2312"/>
          <w:spacing w:val="-4"/>
        </w:rPr>
        <w:t>年</w:t>
      </w:r>
      <w:r>
        <w:rPr>
          <w:rFonts w:eastAsia="楷体_GB2312" w:cs="宋体" w:hint="eastAsia" w:ascii="宋体" w:hAnsi="宋体"/>
          <w:spacing w:val="-4"/>
        </w:rPr>
        <w:t>3</w:t>
      </w:r>
      <w:r>
        <w:rPr>
          <w:rFonts w:ascii="宋体" w:hAnsi="宋体" w:cs="宋体" w:hint="eastAsia" w:eastAsia="楷体_GB2312"/>
          <w:spacing w:val="-4"/>
        </w:rPr>
        <w:t>月</w:t>
      </w:r>
      <w:r>
        <w:rPr>
          <w:rFonts w:eastAsia="楷体_GB2312" w:cs="宋体" w:hint="eastAsia" w:ascii="宋体" w:hAnsi="宋体"/>
          <w:spacing w:val="-4"/>
        </w:rPr>
        <w:t>1</w:t>
      </w:r>
      <w:r>
        <w:rPr>
          <w:rFonts w:ascii="宋体" w:hAnsi="宋体" w:cs="宋体" w:hint="eastAsia" w:eastAsia="楷体_GB2312"/>
          <w:spacing w:val="-4"/>
        </w:rPr>
        <w:t>日施行</w:t>
      </w:r>
      <w:r>
        <w:rPr>
          <w:rFonts w:ascii="宋体" w:hAnsi="宋体" w:cs="宋体" w:hint="eastAsia" w:eastAsia="楷体_GB2312"/>
        </w:rPr>
        <w:t>）</w:t>
      </w:r>
    </w:p>
    <w:p>
      <w:pPr>
        <w:pStyle w:val="Normal"/>
        <w:spacing w:lineRule="exact" w:line="578"/>
        <w:rPr>
          <w:rFonts w:ascii="宋体" w:hAnsi="宋体" w:eastAsia="宋体" w:cs="宋体" w:hint="eastAsia"/>
        </w:rPr>
      </w:pPr>
      <w:r>
        <w:rPr>
          <w:rFonts w:eastAsia="宋体" w:cs="宋体" w:hint="eastAsia" w:ascii="宋体" w:hAnsi="宋体"/>
        </w:rPr>
      </w:r>
    </w:p>
    <w:p>
      <w:pPr>
        <w:pStyle w:val="Normal"/>
        <w:spacing w:lineRule="exact" w:line="578"/>
        <w:jc w:val="center"/>
        <w:textAlignment w:val="center"/>
        <w:rPr>
          <w:rFonts w:ascii="宋体" w:hAnsi="宋体" w:eastAsia="楷体_GB2312" w:cs="楷体_GB2312"/>
          <w:color w:val="000000"/>
        </w:rPr>
      </w:pPr>
      <w:r>
        <w:rPr>
          <w:rFonts w:ascii="宋体" w:hAnsi="宋体" w:cs="楷体_GB2312" w:hint="eastAsia" w:eastAsia="楷体_GB2312"/>
          <w:color w:val="000000"/>
        </w:rPr>
        <w:t>目</w:t>
      </w:r>
      <w:r>
        <w:rPr>
          <w:rFonts w:ascii="宋体" w:hAnsi="宋体" w:cs="楷体_GB2312" w:eastAsia="楷体_GB2312"/>
          <w:color w:val="000000"/>
        </w:rPr>
        <w:t xml:space="preserve">    </w:t>
      </w:r>
      <w:r>
        <w:rPr>
          <w:rFonts w:ascii="宋体" w:hAnsi="宋体" w:cs="楷体_GB2312" w:hint="eastAsia" w:eastAsia="楷体_GB2312"/>
          <w:color w:val="000000"/>
        </w:rPr>
        <w:t>录</w:t>
      </w:r>
    </w:p>
    <w:p>
      <w:pPr>
        <w:pStyle w:val="Normal"/>
        <w:spacing w:lineRule="exact" w:line="578"/>
        <w:ind w:firstLineChars="200" w:startChars="0" w:start="0" w:endChars="0" w:end="0"/>
        <w:jc w:val="start"/>
        <w:textAlignment w:val="center"/>
        <w:rPr>
          <w:rFonts w:ascii="宋体" w:hAnsi="宋体" w:eastAsia="楷体_GB2312" w:cs="楷体_GB2312"/>
          <w:color w:val="000000"/>
        </w:rPr>
      </w:pPr>
      <w:r>
        <w:rPr>
          <w:rFonts w:ascii="宋体" w:hAnsi="宋体" w:cs="楷体_GB2312" w:hint="eastAsia" w:eastAsia="楷体_GB2312"/>
          <w:color w:val="000000"/>
        </w:rPr>
        <w:t>第一章　总则</w:t>
      </w:r>
    </w:p>
    <w:p>
      <w:pPr>
        <w:pStyle w:val="Normal"/>
        <w:spacing w:lineRule="exact" w:line="578"/>
        <w:ind w:firstLineChars="200" w:startChars="0" w:start="0" w:endChars="0" w:end="0"/>
        <w:jc w:val="start"/>
        <w:textAlignment w:val="center"/>
        <w:rPr>
          <w:rFonts w:ascii="宋体" w:hAnsi="宋体" w:eastAsia="楷体_GB2312" w:cs="楷体_GB2312"/>
          <w:color w:val="000000"/>
        </w:rPr>
      </w:pPr>
      <w:r>
        <w:rPr>
          <w:rFonts w:ascii="宋体" w:hAnsi="宋体" w:cs="楷体_GB2312" w:hint="eastAsia" w:eastAsia="楷体_GB2312"/>
          <w:color w:val="000000"/>
        </w:rPr>
        <w:t>第二章　免疫和登记</w:t>
      </w:r>
    </w:p>
    <w:p>
      <w:pPr>
        <w:pStyle w:val="Normal"/>
        <w:spacing w:lineRule="exact" w:line="578"/>
        <w:ind w:firstLineChars="200" w:startChars="0" w:start="0" w:endChars="0" w:end="0"/>
        <w:jc w:val="start"/>
        <w:textAlignment w:val="center"/>
        <w:rPr>
          <w:rFonts w:ascii="宋体" w:hAnsi="宋体" w:eastAsia="楷体_GB2312" w:cs="楷体_GB2312"/>
          <w:color w:val="000000"/>
        </w:rPr>
      </w:pPr>
      <w:r>
        <w:rPr>
          <w:rFonts w:ascii="宋体" w:hAnsi="宋体" w:cs="楷体_GB2312" w:hint="eastAsia" w:eastAsia="楷体_GB2312"/>
          <w:color w:val="000000"/>
        </w:rPr>
        <w:t>第三章　养犬行为规范</w:t>
      </w:r>
    </w:p>
    <w:p>
      <w:pPr>
        <w:pStyle w:val="Normal"/>
        <w:spacing w:lineRule="exact" w:line="578"/>
        <w:ind w:firstLineChars="200" w:startChars="0" w:start="0" w:endChars="0" w:end="0"/>
        <w:jc w:val="start"/>
        <w:textAlignment w:val="center"/>
        <w:rPr>
          <w:rFonts w:ascii="宋体" w:hAnsi="宋体" w:eastAsia="楷体_GB2312" w:cs="楷体_GB2312"/>
          <w:color w:val="000000"/>
        </w:rPr>
      </w:pPr>
      <w:r>
        <w:rPr>
          <w:rFonts w:ascii="宋体" w:hAnsi="宋体" w:cs="楷体_GB2312" w:hint="eastAsia" w:eastAsia="楷体_GB2312"/>
          <w:color w:val="000000"/>
        </w:rPr>
        <w:t>第四章　犬只留检和处理</w:t>
      </w:r>
    </w:p>
    <w:p>
      <w:pPr>
        <w:pStyle w:val="Normal"/>
        <w:spacing w:lineRule="exact" w:line="578"/>
        <w:ind w:firstLineChars="200" w:startChars="0" w:start="0" w:endChars="0" w:end="0"/>
        <w:jc w:val="start"/>
        <w:textAlignment w:val="center"/>
        <w:rPr>
          <w:rFonts w:ascii="宋体" w:hAnsi="宋体" w:eastAsia="楷体_GB2312" w:cs="楷体_GB2312"/>
          <w:color w:val="000000"/>
        </w:rPr>
      </w:pPr>
      <w:r>
        <w:rPr>
          <w:rFonts w:ascii="宋体" w:hAnsi="宋体" w:cs="楷体_GB2312" w:hint="eastAsia" w:eastAsia="楷体_GB2312"/>
          <w:color w:val="000000"/>
        </w:rPr>
        <w:t>第五章　法律责任</w:t>
      </w:r>
    </w:p>
    <w:p>
      <w:pPr>
        <w:pStyle w:val="Normal"/>
        <w:spacing w:lineRule="exact" w:line="578"/>
        <w:ind w:firstLineChars="200" w:startChars="0" w:start="0" w:endChars="0" w:end="0"/>
        <w:jc w:val="start"/>
        <w:textAlignment w:val="center"/>
        <w:rPr>
          <w:rFonts w:ascii="宋体" w:hAnsi="宋体" w:eastAsia="楷体_GB2312" w:cs="楷体_GB2312"/>
          <w:color w:val="000000"/>
        </w:rPr>
      </w:pPr>
      <w:r>
        <w:rPr>
          <w:rFonts w:ascii="宋体" w:hAnsi="宋体" w:cs="楷体_GB2312" w:hint="eastAsia" w:eastAsia="楷体_GB2312"/>
          <w:color w:val="000000"/>
        </w:rPr>
        <w:t>第六章　附则</w:t>
      </w:r>
    </w:p>
    <w:p>
      <w:pPr>
        <w:pStyle w:val="Normal"/>
        <w:spacing w:lineRule="exact" w:line="578"/>
        <w:rPr>
          <w:rFonts w:ascii="宋体" w:hAnsi="宋体" w:eastAsia="楷体_GB2312" w:cs="仿宋_GB2312"/>
          <w:color w:val="000000"/>
        </w:rPr>
      </w:pPr>
      <w:r>
        <w:rPr>
          <w:rFonts w:eastAsia="楷体_GB2312" w:cs="仿宋_GB2312" w:ascii="宋体" w:hAnsi="宋体"/>
          <w:color w:val="000000"/>
        </w:rPr>
      </w:r>
    </w:p>
    <w:p>
      <w:pPr>
        <w:pStyle w:val="Style16"/>
        <w:spacing w:lineRule="exact" w:line="578"/>
        <w:ind w:firstLineChars="0" w:firstLine="0" w:endChars="0" w:end="0"/>
        <w:jc w:val="center"/>
        <w:rPr>
          <w:rFonts w:ascii="宋体" w:hAnsi="宋体" w:eastAsia="黑体" w:cs="宋体"/>
          <w:color w:val="000000"/>
        </w:rPr>
      </w:pPr>
      <w:r>
        <w:rPr>
          <w:rFonts w:ascii="宋体" w:hAnsi="宋体" w:cs="宋体" w:hint="eastAsia" w:eastAsia="黑体"/>
          <w:color w:val="000000"/>
        </w:rPr>
        <w:t>第一章　总则</w:t>
      </w:r>
    </w:p>
    <w:p>
      <w:pPr>
        <w:pStyle w:val="Style16"/>
        <w:spacing w:lineRule="exact" w:line="578"/>
        <w:ind w:firstLineChars="0" w:firstLine="0" w:endChars="0" w:end="0"/>
        <w:jc w:val="center"/>
        <w:rPr>
          <w:rFonts w:ascii="宋体" w:hAnsi="宋体" w:eastAsia="黑体" w:cs="宋体"/>
          <w:color w:val="000000"/>
        </w:rPr>
      </w:pPr>
      <w:r>
        <w:rPr>
          <w:rFonts w:eastAsia="黑体" w:cs="宋体" w:ascii="宋体" w:hAnsi="宋体"/>
          <w:color w:val="000000"/>
        </w:rPr>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第一条　</w:t>
      </w:r>
      <w:r>
        <w:rPr>
          <w:rFonts w:ascii="宋体" w:hAnsi="宋体" w:cs="仿宋_GB2312" w:hint="eastAsia"/>
          <w:color w:val="000000"/>
        </w:rPr>
        <w:t>为了加强养犬管理，规范养犬行为，保障公民身体健康和人身安全，维护社会公共秩序和市容环境，建设文明和谐城市，根据有关法律法规，结合自治州实际，制定本条例。</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第二条　</w:t>
      </w:r>
      <w:r>
        <w:rPr>
          <w:rFonts w:ascii="宋体" w:hAnsi="宋体" w:cs="仿宋_GB2312" w:hint="eastAsia"/>
          <w:color w:val="000000"/>
        </w:rPr>
        <w:t>市人民政府所在地城市建成区和县人民政府所在地镇建成区内养犬及养犬管理活动，适用本条例。</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军用犬、警用犬、导盲犬、扶助犬及动物园、科研机构等因特殊需要饲养的犬只不适用本条例。</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第三条　</w:t>
      </w:r>
      <w:r>
        <w:rPr>
          <w:rFonts w:ascii="宋体" w:hAnsi="宋体" w:cs="仿宋_GB2312" w:hint="eastAsia"/>
          <w:color w:val="000000"/>
        </w:rPr>
        <w:t>养犬管理应当遵循政府部门监管，养犬人自律，基层组织参与和公众监督相结合的原则。</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第四条　</w:t>
      </w:r>
      <w:r>
        <w:rPr>
          <w:rFonts w:ascii="宋体" w:hAnsi="宋体" w:cs="仿宋_GB2312" w:hint="eastAsia"/>
          <w:color w:val="000000"/>
        </w:rPr>
        <w:t>自治州人民政府负责本条例的组织实施。</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县（市）城市管理行政执法部门是养犬管理工作的主管部门，负责本条例的具体实施，组织、协调、落实本辖区内的养犬监督管理执法工作。</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自治州、县（市）人民政府公安、住房和城乡建设、农业农村、卫生健康、发展和改革、财政、市场监督管理、生态环境等部门按照各自职责</w:t>
      </w:r>
      <w:r>
        <w:rPr>
          <w:rFonts w:cs="仿宋_GB2312" w:ascii="宋体" w:hAnsi="宋体"/>
          <w:color w:val="000000"/>
        </w:rPr>
        <w:t>,</w:t>
      </w:r>
      <w:r>
        <w:rPr>
          <w:rFonts w:ascii="宋体" w:hAnsi="宋体" w:cs="仿宋_GB2312" w:hint="eastAsia"/>
          <w:color w:val="000000"/>
        </w:rPr>
        <w:t>共同做好养犬管理相关工作。</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第五条　</w:t>
      </w:r>
      <w:r>
        <w:rPr>
          <w:rFonts w:ascii="宋体" w:hAnsi="宋体" w:cs="仿宋_GB2312" w:hint="eastAsia"/>
          <w:color w:val="000000"/>
        </w:rPr>
        <w:t>县（市）人民政府应当加强对养犬管理工作的领导，保障养犬管理相关工作经费，建立养犬管理协调机制，解决养犬管理工作中的重要问题。</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第六条　</w:t>
      </w:r>
      <w:r>
        <w:rPr>
          <w:rFonts w:ascii="宋体" w:hAnsi="宋体" w:cs="仿宋_GB2312" w:hint="eastAsia"/>
          <w:color w:val="000000"/>
        </w:rPr>
        <w:t>社区居民委员会以及物业服务企业、相关社会组织等，应当引导、督促养犬人依法养犬、文明养犬，协助政府相关部门做好养犬管理工作。</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第七条　</w:t>
      </w:r>
      <w:r>
        <w:rPr>
          <w:rFonts w:ascii="宋体" w:hAnsi="宋体" w:cs="仿宋_GB2312" w:hint="eastAsia"/>
          <w:color w:val="000000"/>
        </w:rPr>
        <w:t>广播、电视、报刊、网站等新闻媒体应当加强文明养犬宣传教育</w:t>
      </w:r>
      <w:r>
        <w:rPr>
          <w:rFonts w:cs="仿宋_GB2312" w:ascii="宋体" w:hAnsi="宋体"/>
          <w:color w:val="000000"/>
        </w:rPr>
        <w:t>,</w:t>
      </w:r>
      <w:r>
        <w:rPr>
          <w:rFonts w:ascii="宋体" w:hAnsi="宋体" w:cs="仿宋_GB2312" w:hint="eastAsia"/>
          <w:color w:val="000000"/>
        </w:rPr>
        <w:t>引导养犬人形成良好的养犬习惯。</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第八条　</w:t>
      </w:r>
      <w:r>
        <w:rPr>
          <w:rFonts w:ascii="宋体" w:hAnsi="宋体" w:cs="仿宋_GB2312" w:hint="eastAsia"/>
          <w:color w:val="000000"/>
        </w:rPr>
        <w:t>任何单位和个人对于违法养犬行为，有权进行投诉和举报。</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城市管理行政执法部门应当向社会公布信箱、电子邮箱和电话等投诉和举报渠道。对接到的投诉和举报，及时登记，并按照职责交由相关部门或者机构处理。相关部门或者机构应当在接到投诉和举报后十个工作日内，将处理情况告知投诉人或者举报人。</w:t>
      </w:r>
    </w:p>
    <w:p>
      <w:pPr>
        <w:pStyle w:val="Normal"/>
        <w:snapToGrid w:val="false"/>
        <w:spacing w:lineRule="exact" w:line="578"/>
        <w:textAlignment w:val="center"/>
        <w:rPr>
          <w:rFonts w:ascii="宋体" w:hAnsi="宋体" w:cs="仿宋_GB2312"/>
          <w:color w:val="000000"/>
        </w:rPr>
      </w:pPr>
      <w:r>
        <w:rPr>
          <w:rFonts w:cs="仿宋_GB2312" w:ascii="宋体" w:hAnsi="宋体"/>
          <w:color w:val="000000"/>
        </w:rPr>
      </w:r>
    </w:p>
    <w:p>
      <w:pPr>
        <w:pStyle w:val="Normal"/>
        <w:snapToGrid w:val="false"/>
        <w:spacing w:lineRule="exact" w:line="578"/>
        <w:jc w:val="center"/>
        <w:textAlignment w:val="center"/>
        <w:rPr>
          <w:rFonts w:ascii="宋体" w:hAnsi="宋体" w:eastAsia="黑体" w:cs="黑体"/>
          <w:color w:val="000000"/>
        </w:rPr>
      </w:pPr>
      <w:r>
        <w:rPr>
          <w:rFonts w:ascii="宋体" w:hAnsi="宋体" w:cs="黑体" w:hint="eastAsia" w:eastAsia="黑体"/>
          <w:color w:val="000000"/>
        </w:rPr>
        <w:t>第二章　免疫和登记</w:t>
      </w:r>
    </w:p>
    <w:p>
      <w:pPr>
        <w:pStyle w:val="Style16"/>
        <w:snapToGrid w:val="false"/>
        <w:spacing w:lineRule="exact" w:line="578"/>
        <w:ind w:firstLineChars="0" w:firstLine="0" w:endChars="0" w:end="0"/>
        <w:rPr>
          <w:rFonts w:ascii="宋体" w:hAnsi="宋体" w:eastAsia="黑体" w:cs="宋体"/>
          <w:color w:val="000000"/>
        </w:rPr>
      </w:pPr>
      <w:r>
        <w:rPr>
          <w:rFonts w:eastAsia="黑体" w:cs="宋体" w:ascii="宋体" w:hAnsi="宋体"/>
          <w:color w:val="000000"/>
        </w:rPr>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第九条　</w:t>
      </w:r>
      <w:r>
        <w:rPr>
          <w:rFonts w:ascii="宋体" w:hAnsi="宋体" w:cs="仿宋_GB2312" w:hint="eastAsia"/>
          <w:color w:val="000000"/>
        </w:rPr>
        <w:t>养犬人应当对其饲养的犬只做好狂犬病免疫等防疫工作。养犬人应当在犬只出生满三个月或者犬只狂犬病免疫有效期届满前到犬只免疫机构为犬只接种兽用狂犬病疫苗，并领取农业农村部门制发的犬只免疫证明。</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第十条　</w:t>
      </w:r>
      <w:r>
        <w:rPr>
          <w:rFonts w:ascii="宋体" w:hAnsi="宋体" w:cs="仿宋_GB2312" w:hint="eastAsia"/>
          <w:color w:val="000000"/>
        </w:rPr>
        <w:t>饲养犬只的个人应当具有完全民事行为能力，有固定住所。</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个人养犬的</w:t>
      </w:r>
      <w:r>
        <w:rPr>
          <w:rFonts w:cs="仿宋_GB2312" w:ascii="宋体" w:hAnsi="宋体"/>
          <w:color w:val="000000"/>
        </w:rPr>
        <w:t>,</w:t>
      </w:r>
      <w:r>
        <w:rPr>
          <w:rFonts w:ascii="宋体" w:hAnsi="宋体" w:cs="仿宋_GB2312" w:hint="eastAsia"/>
          <w:color w:val="000000"/>
        </w:rPr>
        <w:t>每户限养一只。</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禁止饲养烈性犬和列入禁养名录的大型犬。禁养犬名录由自治州住房和城乡建设部门会同农业农村部门、公安机关确定</w:t>
      </w:r>
      <w:r>
        <w:rPr>
          <w:rFonts w:cs="仿宋_GB2312" w:ascii="宋体" w:hAnsi="宋体"/>
          <w:color w:val="000000"/>
        </w:rPr>
        <w:t>,</w:t>
      </w:r>
      <w:r>
        <w:rPr>
          <w:rFonts w:ascii="宋体" w:hAnsi="宋体" w:cs="仿宋_GB2312" w:hint="eastAsia"/>
          <w:color w:val="000000"/>
        </w:rPr>
        <w:t>并向社会公布。</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黑体" w:hint="eastAsia" w:eastAsia="黑体"/>
          <w:color w:val="000000"/>
        </w:rPr>
        <w:t>第十一条　</w:t>
      </w:r>
      <w:r>
        <w:rPr>
          <w:rFonts w:ascii="宋体" w:hAnsi="宋体" w:cs="仿宋_GB2312" w:hint="eastAsia"/>
          <w:color w:val="000000"/>
        </w:rPr>
        <w:t>养犬人应当自取得犬只免疫证之日起十五个工作日内</w:t>
      </w:r>
      <w:r>
        <w:rPr>
          <w:rFonts w:cs="仿宋_GB2312" w:ascii="宋体" w:hAnsi="宋体"/>
          <w:color w:val="000000"/>
        </w:rPr>
        <w:t>,</w:t>
      </w:r>
      <w:r>
        <w:rPr>
          <w:rFonts w:ascii="宋体" w:hAnsi="宋体" w:cs="仿宋_GB2312" w:hint="eastAsia"/>
          <w:color w:val="000000"/>
        </w:rPr>
        <w:t>携带犬只到城市管理行政执法部门办理养犬登记。</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个人养犬登记的，应当携犬并持下列材料办理：</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（一）养犬人居民身份证或者户口簿；</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（二）农业农村部门出具的犬只免疫证明；</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（三）房产证明或者房屋租赁合同。</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单位养犬登记的，应当携犬并持下列材料办理：</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（一）单位营业执照或者机构代码证；</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（二）法定代表人的身份证明；</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（三）农业农村部门出具的犬只免疫证明；</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（四）饲养犬只的场所、设施证明。</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城市管理行政执法部门自收到申请材料之日起五个工作日内作出决定。符合条件的</w:t>
      </w:r>
      <w:r>
        <w:rPr>
          <w:rFonts w:cs="仿宋_GB2312" w:ascii="宋体" w:hAnsi="宋体"/>
          <w:color w:val="000000"/>
        </w:rPr>
        <w:t>,</w:t>
      </w:r>
      <w:r>
        <w:rPr>
          <w:rFonts w:ascii="宋体" w:hAnsi="宋体" w:cs="仿宋_GB2312" w:hint="eastAsia"/>
          <w:color w:val="000000"/>
        </w:rPr>
        <w:t>应当予以登记</w:t>
      </w:r>
      <w:r>
        <w:rPr>
          <w:rFonts w:cs="仿宋_GB2312" w:ascii="宋体" w:hAnsi="宋体"/>
          <w:color w:val="000000"/>
        </w:rPr>
        <w:t>,</w:t>
      </w:r>
      <w:r>
        <w:rPr>
          <w:rFonts w:ascii="宋体" w:hAnsi="宋体" w:cs="仿宋_GB2312" w:hint="eastAsia"/>
          <w:color w:val="000000"/>
        </w:rPr>
        <w:t>发放养犬登记证和智能犬只识别牌，智能犬只识别牌费用由养犬人承担</w:t>
      </w:r>
      <w:r>
        <w:rPr>
          <w:rFonts w:cs="仿宋_GB2312" w:hint="eastAsia" w:ascii="宋体" w:hAnsi="宋体"/>
          <w:color w:val="000000"/>
        </w:rPr>
        <w:t>;</w:t>
      </w:r>
      <w:r>
        <w:rPr>
          <w:rFonts w:ascii="宋体" w:hAnsi="宋体" w:cs="仿宋_GB2312" w:hint="eastAsia"/>
          <w:color w:val="000000"/>
        </w:rPr>
        <w:t>对不符合条件的</w:t>
      </w:r>
      <w:r>
        <w:rPr>
          <w:rFonts w:cs="仿宋_GB2312" w:ascii="宋体" w:hAnsi="宋体"/>
          <w:color w:val="000000"/>
        </w:rPr>
        <w:t>,</w:t>
      </w:r>
      <w:r>
        <w:rPr>
          <w:rFonts w:ascii="宋体" w:hAnsi="宋体" w:cs="仿宋_GB2312" w:hint="eastAsia"/>
          <w:color w:val="000000"/>
        </w:rPr>
        <w:t>不予登记并书面说明理由</w:t>
      </w:r>
      <w:r>
        <w:rPr>
          <w:rFonts w:ascii="宋体" w:hAnsi="宋体" w:cs="仿宋_GB2312" w:hint="eastAsia"/>
        </w:rPr>
        <w:t>。</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第十二条　</w:t>
      </w:r>
      <w:r>
        <w:rPr>
          <w:rFonts w:ascii="宋体" w:hAnsi="宋体" w:cs="仿宋_GB2312" w:hint="eastAsia"/>
          <w:color w:val="000000"/>
        </w:rPr>
        <w:t>养犬登记档案应当记载下列信息</w:t>
      </w:r>
      <w:r>
        <w:rPr>
          <w:rFonts w:cs="仿宋_GB2312" w:ascii="宋体" w:hAnsi="宋体"/>
          <w:color w:val="000000"/>
        </w:rPr>
        <w:t>:</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仿宋_GB2312" w:hint="eastAsia"/>
          <w:color w:val="000000"/>
        </w:rPr>
        <w:t>（一）养犬人姓名或者养犬单位名称、地址、联系方式；</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仿宋_GB2312" w:hint="eastAsia"/>
          <w:color w:val="000000"/>
        </w:rPr>
        <w:t>（二）犬只品种、近期照片、类型、主要体貌特征；</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仿宋_GB2312" w:hint="eastAsia"/>
          <w:color w:val="000000"/>
        </w:rPr>
        <w:t>（三）犬只免疫情况；</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仿宋_GB2312" w:hint="eastAsia"/>
          <w:color w:val="000000"/>
        </w:rPr>
        <w:t>（四）养犬登记证、智能犬只识别牌号码和发放时间；</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仿宋_GB2312" w:hint="eastAsia"/>
          <w:color w:val="000000"/>
        </w:rPr>
        <w:t>（五）养犬初始、变更、注销登记情况；</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仿宋_GB2312" w:hint="eastAsia"/>
          <w:color w:val="000000"/>
        </w:rPr>
        <w:t>（六）养犬违法记录、犬只伤人记录；</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（七）其他应当记载的事项。</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黑体" w:hint="eastAsia" w:eastAsia="黑体"/>
          <w:color w:val="000000"/>
        </w:rPr>
        <w:t>第十三条　</w:t>
      </w:r>
      <w:r>
        <w:rPr>
          <w:rFonts w:ascii="宋体" w:hAnsi="宋体" w:cs="仿宋_GB2312" w:hint="eastAsia"/>
          <w:color w:val="000000"/>
        </w:rPr>
        <w:t>有下列情形之一的</w:t>
      </w:r>
      <w:r>
        <w:rPr>
          <w:rFonts w:cs="仿宋_GB2312" w:ascii="宋体" w:hAnsi="宋体"/>
          <w:color w:val="000000"/>
        </w:rPr>
        <w:t>,</w:t>
      </w:r>
      <w:r>
        <w:rPr>
          <w:rFonts w:ascii="宋体" w:hAnsi="宋体" w:cs="仿宋_GB2312" w:hint="eastAsia"/>
          <w:color w:val="000000"/>
        </w:rPr>
        <w:t>养犬人应当自相关事项发生之日起十五日内</w:t>
      </w:r>
      <w:r>
        <w:rPr>
          <w:rFonts w:cs="仿宋_GB2312" w:ascii="宋体" w:hAnsi="宋体"/>
          <w:color w:val="000000"/>
        </w:rPr>
        <w:t>,</w:t>
      </w:r>
      <w:r>
        <w:rPr>
          <w:rFonts w:ascii="宋体" w:hAnsi="宋体" w:cs="仿宋_GB2312" w:hint="eastAsia"/>
          <w:color w:val="000000"/>
        </w:rPr>
        <w:t>持养犬登记证及相关材料向城市管理行政执法部门申请办理变更或者注销登记</w:t>
      </w:r>
      <w:r>
        <w:rPr>
          <w:rFonts w:cs="仿宋_GB2312" w:ascii="宋体" w:hAnsi="宋体"/>
          <w:color w:val="000000"/>
        </w:rPr>
        <w:t>:</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（一）转让或者赠予犬只的，变更后的养犬人应当与原养犬人共同办理养犬变更登记；</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（二）养犬人的住址、联系方式变更的，应当在变更后，办理养犬变更登记；</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（三）放弃饲养犬只的，应当将犬只送交犬只留检场所，并办理养犬注销登记；</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（四）犬只死亡或者失踪的，应当办理养犬注销登记。</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智能犬只识别牌遗失或者损毁的，养犬人应当持有效证明，补办智能犬只识别牌。</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黑体" w:hint="eastAsia" w:eastAsia="黑体"/>
          <w:color w:val="000000"/>
        </w:rPr>
        <w:t>第十四条　</w:t>
      </w:r>
      <w:r>
        <w:rPr>
          <w:rFonts w:ascii="宋体" w:hAnsi="宋体" w:cs="仿宋_GB2312" w:hint="eastAsia"/>
          <w:color w:val="000000"/>
          <w:spacing w:val="-6"/>
        </w:rPr>
        <w:t>携带外来犬只进入本条例施行区域的，应当遵守本条例规定，同时需要携带免疫证明。无犬只免疫证明的，应当在二十日内进行犬只疫病免疫；超过四十日的，应当办理养犬登记。</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第十五条　</w:t>
      </w:r>
      <w:r>
        <w:rPr>
          <w:rFonts w:ascii="宋体" w:hAnsi="宋体" w:cs="仿宋_GB2312" w:hint="eastAsia"/>
          <w:color w:val="000000"/>
        </w:rPr>
        <w:t>县（市）城市管理行政执法部门应当与公安、农业农村等部门实行养犬管理信息共享，并逐步实现犬只免疫和登记在同一场所办理。</w:t>
      </w:r>
    </w:p>
    <w:p>
      <w:pPr>
        <w:pStyle w:val="Style16"/>
        <w:snapToGrid w:val="false"/>
        <w:spacing w:lineRule="exact" w:line="578"/>
        <w:ind w:firstLineChars="0" w:firstLine="0" w:endChars="0" w:end="0"/>
        <w:rPr>
          <w:rFonts w:ascii="宋体" w:hAnsi="宋体" w:cs="宋体"/>
          <w:color w:val="000000"/>
        </w:rPr>
      </w:pPr>
      <w:r>
        <w:rPr>
          <w:rFonts w:cs="宋体" w:ascii="宋体" w:hAnsi="宋体"/>
          <w:color w:val="000000"/>
        </w:rPr>
      </w:r>
    </w:p>
    <w:p>
      <w:pPr>
        <w:pStyle w:val="Normal"/>
        <w:snapToGrid w:val="false"/>
        <w:spacing w:lineRule="exact" w:line="578"/>
        <w:jc w:val="center"/>
        <w:textAlignment w:val="center"/>
        <w:rPr>
          <w:rFonts w:ascii="宋体" w:hAnsi="宋体" w:eastAsia="黑体" w:cs="黑体"/>
          <w:color w:val="000000"/>
        </w:rPr>
      </w:pPr>
      <w:r>
        <w:rPr>
          <w:rFonts w:ascii="宋体" w:hAnsi="宋体" w:cs="黑体" w:hint="eastAsia" w:eastAsia="黑体"/>
          <w:color w:val="000000"/>
        </w:rPr>
        <w:t>第三章　养犬行为规范</w:t>
      </w:r>
    </w:p>
    <w:p>
      <w:pPr>
        <w:pStyle w:val="Style16"/>
        <w:snapToGrid w:val="false"/>
        <w:spacing w:lineRule="exact" w:line="578"/>
        <w:ind w:firstLineChars="0" w:firstLine="0" w:endChars="0" w:end="0"/>
        <w:rPr>
          <w:rFonts w:ascii="宋体" w:hAnsi="宋体" w:eastAsia="黑体" w:cs="宋体"/>
          <w:color w:val="000000"/>
        </w:rPr>
      </w:pPr>
      <w:r>
        <w:rPr>
          <w:rFonts w:eastAsia="黑体" w:cs="宋体" w:ascii="宋体" w:hAnsi="宋体"/>
          <w:color w:val="000000"/>
        </w:rPr>
      </w:r>
    </w:p>
    <w:p>
      <w:pPr>
        <w:pStyle w:val="Normal"/>
        <w:snapToGrid w:val="false"/>
        <w:spacing w:lineRule="exact" w:line="578"/>
        <w:ind w:firstLineChars="200" w:startChars="0" w:start="0" w:endChars="0" w:end="0"/>
        <w:textAlignment w:val="center"/>
        <w:rPr>
          <w:rFonts w:ascii="宋体" w:hAnsi="宋体" w:cs="仿宋_GB2312" w:hint="eastAsia"/>
          <w:shd w:fill="D9D9D9" w:val="clear"/>
        </w:rPr>
      </w:pPr>
      <w:r>
        <w:rPr>
          <w:rFonts w:ascii="宋体" w:hAnsi="宋体" w:cs="黑体" w:hint="eastAsia" w:eastAsia="黑体"/>
          <w:color w:val="000000"/>
        </w:rPr>
        <w:t>第十六条　</w:t>
      </w:r>
      <w:r>
        <w:rPr>
          <w:rFonts w:ascii="宋体" w:hAnsi="宋体" w:cs="仿宋_GB2312" w:hint="eastAsia"/>
          <w:color w:val="000000"/>
        </w:rPr>
        <w:t>养犬人不得实施下列行为：</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（一）不得放任犬吠影响他人正常生活；</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（二）不得放任、驱使犬只恐吓、伤害他人；</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仿宋_GB2312" w:hint="eastAsia"/>
          <w:color w:val="000000"/>
        </w:rPr>
        <w:t>（三）不得放任犬只在城市道路上乱跑影响交通秩序和安全；</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（四）不得携带犬只进入本条例规定的禁入单位和场所；</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（五）不得侵占楼道、绿地等居民住宅小区公共区域饲养犬只；</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（六）不得遗弃、虐待犬只；</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（七）不得组织、参与斗犬活动；</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（八）法律法规规定不得实施的其他行为。</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第十七条　</w:t>
      </w:r>
      <w:r>
        <w:rPr>
          <w:rFonts w:ascii="宋体" w:hAnsi="宋体" w:cs="仿宋_GB2312" w:hint="eastAsia"/>
          <w:color w:val="000000"/>
        </w:rPr>
        <w:t>犬只繁殖幼犬的，养犬人应当自幼犬出生之日起三个月内，将超过限养数量的犬只转让他人或者送交犬只留检场所。</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第十八条　</w:t>
      </w:r>
      <w:r>
        <w:rPr>
          <w:rFonts w:ascii="宋体" w:hAnsi="宋体" w:cs="仿宋_GB2312" w:hint="eastAsia"/>
          <w:color w:val="000000"/>
        </w:rPr>
        <w:t>携带犬只出户，应当遵守下列规定：</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（一）为犬只佩戴智能犬只识别牌；</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（二）用长度二米以下且不具有伸缩性的犬绳牵领犬只；</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（三）主动避让他人；</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（四）即时制止犬只吠叫和攻击行为；</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（五）即时清理犬只粪便和呕吐物；</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（六）不得由无民事行为能力人或者限制民事行为能力人单独携带犬只；</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（七）进入楼道、电梯等拥挤场所应当给犬只佩戴嘴套，或者将犬只装入犬袋、犬笼，或者近身约束犬只；</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（八）携带犬只乘坐出租汽车应当征得驾驶员同意，卸载后应当进行消杀处理。</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本条例施行区域外可以饲养烈性犬或者大型犬的养犬人因免疫、诊疗需要，携带烈性犬或者大型犬进入本条例施行区域的，应当给犬只佩戴嘴套，或者将犬只装入犬袋、犬笼。</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黑体" w:hint="eastAsia" w:eastAsia="黑体"/>
          <w:color w:val="000000"/>
        </w:rPr>
        <w:t>第十九条　</w:t>
      </w:r>
      <w:r>
        <w:rPr>
          <w:rFonts w:ascii="宋体" w:hAnsi="宋体" w:cs="仿宋_GB2312" w:hint="eastAsia"/>
          <w:color w:val="000000"/>
        </w:rPr>
        <w:t>禁止携带犬只进入办公楼、学校、医院、体育场馆、博物馆、图书馆，电影院、</w:t>
      </w:r>
      <w:r>
        <w:rPr>
          <w:rFonts w:cs="仿宋_GB2312" w:ascii="宋体" w:hAnsi="宋体"/>
          <w:color w:val="000000"/>
        </w:rPr>
        <w:t>KTV</w:t>
      </w:r>
      <w:r>
        <w:rPr>
          <w:rFonts w:ascii="宋体" w:hAnsi="宋体" w:cs="仿宋_GB2312" w:hint="eastAsia"/>
          <w:color w:val="000000"/>
        </w:rPr>
        <w:t>等文化娱乐场所，候车（机、船）室、餐饮场所、商场、宾馆等场所或者乘坐公共交通工具。</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仿宋_GB2312" w:hint="eastAsia"/>
          <w:color w:val="000000"/>
        </w:rPr>
        <w:t>前款规定以外的公园、广场、公厕等其他场所的管理单位或者管理者可以决定其管理场所是否允许携带犬只进入。禁止犬只进入的，应当设置明显的禁入标识。</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第二十条　</w:t>
      </w:r>
      <w:r>
        <w:rPr>
          <w:rFonts w:ascii="宋体" w:hAnsi="宋体" w:cs="仿宋_GB2312" w:hint="eastAsia"/>
          <w:color w:val="000000"/>
        </w:rPr>
        <w:t>本条例第十九条规定的犬只禁入场所、设施的管理者、使用人负有制止犬只进入该场所、设施的义务。对制止无效的，报告城市管理行政执法部门处理。</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第二十一条　</w:t>
      </w:r>
      <w:r>
        <w:rPr>
          <w:rFonts w:ascii="宋体" w:hAnsi="宋体" w:cs="仿宋_GB2312" w:hint="eastAsia"/>
          <w:color w:val="000000"/>
        </w:rPr>
        <w:t>县（市）城市管理行政执法部门对养犬行为开展下列监督管理工作：</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（一）巡查监督养犬行为；</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（二）受理投诉举报；</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（三）制止和处罚违反本条例规定的养犬行为；</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（四）配合公安机关处理犬只扰民、伤人案件；</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（五）捕捉或者委托专业组织捕捉应当没收的犬只及流浪犬、无主犬等，并送至犬只留检场所。</w:t>
      </w:r>
    </w:p>
    <w:p>
      <w:pPr>
        <w:pStyle w:val="Style16"/>
        <w:snapToGrid w:val="false"/>
        <w:spacing w:lineRule="exact" w:line="578"/>
        <w:ind w:firstLineChars="0" w:firstLine="0" w:endChars="0" w:end="0"/>
        <w:rPr>
          <w:rFonts w:ascii="宋体" w:hAnsi="宋体" w:cs="宋体"/>
          <w:color w:val="000000"/>
        </w:rPr>
      </w:pPr>
      <w:r>
        <w:rPr>
          <w:rFonts w:cs="宋体" w:ascii="宋体" w:hAnsi="宋体"/>
          <w:color w:val="000000"/>
        </w:rPr>
      </w:r>
    </w:p>
    <w:p>
      <w:pPr>
        <w:pStyle w:val="Normal"/>
        <w:snapToGrid w:val="false"/>
        <w:spacing w:lineRule="exact" w:line="578"/>
        <w:jc w:val="center"/>
        <w:textAlignment w:val="center"/>
        <w:rPr>
          <w:rFonts w:ascii="宋体" w:hAnsi="宋体" w:eastAsia="黑体" w:cs="黑体"/>
          <w:color w:val="000000"/>
        </w:rPr>
      </w:pPr>
      <w:r>
        <w:rPr>
          <w:rFonts w:ascii="宋体" w:hAnsi="宋体" w:cs="黑体" w:hint="eastAsia" w:eastAsia="黑体"/>
          <w:color w:val="000000"/>
        </w:rPr>
        <w:t>第四章　犬只留检和处理</w:t>
      </w:r>
    </w:p>
    <w:p>
      <w:pPr>
        <w:pStyle w:val="Style16"/>
        <w:snapToGrid w:val="false"/>
        <w:spacing w:lineRule="exact" w:line="578"/>
        <w:ind w:firstLineChars="0" w:firstLine="0" w:endChars="0" w:end="0"/>
        <w:rPr>
          <w:rFonts w:ascii="宋体" w:hAnsi="宋体" w:eastAsia="黑体" w:cs="宋体"/>
          <w:color w:val="000000"/>
        </w:rPr>
      </w:pPr>
      <w:r>
        <w:rPr>
          <w:rFonts w:eastAsia="黑体" w:cs="宋体" w:ascii="宋体" w:hAnsi="宋体"/>
          <w:color w:val="000000"/>
        </w:rPr>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黑体" w:hint="eastAsia" w:eastAsia="黑体"/>
          <w:color w:val="000000"/>
        </w:rPr>
        <w:t>第二十二条　</w:t>
      </w:r>
      <w:r>
        <w:rPr>
          <w:rFonts w:ascii="宋体" w:hAnsi="宋体" w:cs="仿宋_GB2312" w:hint="eastAsia"/>
          <w:color w:val="000000"/>
        </w:rPr>
        <w:t>县（市）人民政府应当设立犬只留检场所。犬只留检场所应当符合动物防疫条件，配备无害化处理设施。犬只留检场所在城市管理行政执法部门的监督管理下开展下列工作：</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（一）接收养犬人、公众、城市管理行政执法部门和公安机关送交的犬只；</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（二）组织开展入所犬只的免疫；</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（三）对受伤和生病的犬只进行救治；</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（四）保证犬只必要的生存条件；</w:t>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仿宋_GB2312" w:hint="eastAsia"/>
          <w:color w:val="000000"/>
        </w:rPr>
        <w:t>（五）建立犬只入所、出所登记制度和犬只档案。</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第二十三条　</w:t>
      </w:r>
      <w:r>
        <w:rPr>
          <w:rFonts w:ascii="宋体" w:hAnsi="宋体" w:cs="仿宋_GB2312" w:hint="eastAsia"/>
          <w:color w:val="000000"/>
        </w:rPr>
        <w:t>任何单位和个人发现禁养犬、流浪犬、无主犬，可以送交犬只留检场所或者报告城市管理行政执法部门。</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黑体" w:hint="eastAsia" w:eastAsia="黑体"/>
          <w:color w:val="000000"/>
        </w:rPr>
        <w:t>第二十四条　</w:t>
      </w:r>
      <w:r>
        <w:rPr>
          <w:rFonts w:ascii="宋体" w:hAnsi="宋体" w:cs="仿宋_GB2312" w:hint="eastAsia"/>
          <w:color w:val="000000"/>
        </w:rPr>
        <w:t>犬只留检场所接收走失犬只，应当通知养犬人在七个工作日内领回。养犬人逾期不领回的，视为放弃，按照无主犬处理。</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走失犬只在犬只留检场所期间产生的饲养、诊疗等所需费用由养犬人承担。</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第二十五条　</w:t>
      </w:r>
      <w:r>
        <w:rPr>
          <w:rFonts w:ascii="宋体" w:hAnsi="宋体" w:cs="仿宋_GB2312" w:hint="eastAsia"/>
          <w:color w:val="000000"/>
        </w:rPr>
        <w:t>犬只留检场所应当建立犬只领养制度。经免疫合格且具备领养条件的犬只，允许符合本条例第十条规定的养犬人领养。</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第二十六条　</w:t>
      </w:r>
      <w:r>
        <w:rPr>
          <w:rFonts w:ascii="宋体" w:hAnsi="宋体" w:cs="仿宋_GB2312" w:hint="eastAsia"/>
          <w:color w:val="000000"/>
        </w:rPr>
        <w:t>鼓励依法设立的民间动物保护组织等社会团体开展犬只的收容救助工作。</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收容救助的犬只不得用于营利活动。</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第二十七条　</w:t>
      </w:r>
      <w:r>
        <w:rPr>
          <w:rFonts w:ascii="宋体" w:hAnsi="宋体" w:cs="仿宋_GB2312" w:hint="eastAsia"/>
          <w:color w:val="000000"/>
        </w:rPr>
        <w:t>犬只尸体应当进行无害化处理，任何单位和个人不得擅自处理。</w:t>
      </w:r>
    </w:p>
    <w:p>
      <w:pPr>
        <w:pStyle w:val="Style16"/>
        <w:snapToGrid w:val="false"/>
        <w:spacing w:lineRule="exact" w:line="578"/>
        <w:ind w:firstLineChars="0" w:firstLine="0" w:endChars="0" w:end="0"/>
        <w:rPr>
          <w:rFonts w:ascii="宋体" w:hAnsi="宋体" w:cs="宋体"/>
          <w:color w:val="000000"/>
        </w:rPr>
      </w:pPr>
      <w:r>
        <w:rPr>
          <w:rFonts w:cs="宋体" w:ascii="宋体" w:hAnsi="宋体"/>
          <w:color w:val="000000"/>
        </w:rPr>
      </w:r>
    </w:p>
    <w:p>
      <w:pPr>
        <w:pStyle w:val="Normal"/>
        <w:snapToGrid w:val="false"/>
        <w:spacing w:lineRule="exact" w:line="578"/>
        <w:jc w:val="center"/>
        <w:textAlignment w:val="center"/>
        <w:rPr>
          <w:rFonts w:ascii="宋体" w:hAnsi="宋体" w:eastAsia="黑体" w:cs="黑体"/>
          <w:color w:val="000000"/>
        </w:rPr>
      </w:pPr>
      <w:r>
        <w:rPr>
          <w:rFonts w:ascii="宋体" w:hAnsi="宋体" w:cs="黑体" w:hint="eastAsia" w:eastAsia="黑体"/>
          <w:color w:val="000000"/>
        </w:rPr>
        <w:t>第五章　法律责任</w:t>
      </w:r>
    </w:p>
    <w:p>
      <w:pPr>
        <w:pStyle w:val="Style16"/>
        <w:snapToGrid w:val="false"/>
        <w:spacing w:lineRule="exact" w:line="578"/>
        <w:ind w:firstLineChars="0" w:firstLine="0" w:endChars="0" w:end="0"/>
        <w:rPr>
          <w:rFonts w:ascii="宋体" w:hAnsi="宋体" w:eastAsia="黑体" w:cs="宋体"/>
          <w:color w:val="000000"/>
        </w:rPr>
      </w:pPr>
      <w:r>
        <w:rPr>
          <w:rFonts w:eastAsia="黑体" w:cs="宋体" w:ascii="宋体" w:hAnsi="宋体"/>
          <w:color w:val="000000"/>
        </w:rPr>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第二十八条　</w:t>
      </w:r>
      <w:r>
        <w:rPr>
          <w:rFonts w:ascii="宋体" w:hAnsi="宋体" w:cs="仿宋_GB2312" w:hint="eastAsia"/>
          <w:color w:val="000000"/>
        </w:rPr>
        <w:t>违反本条例第九条、第十四条规定，犬只未接受狂犬病免疫接种或者免疫有效期限届满未重新进行免疫接种，以及携带无犬只免疫证明的外来犬只未在规定期限内免疫接种的，由县（市）农业农村主管部门责令改正，处一千元以下罚款；拒不改正的，由县（市）农业农村主管部门委托动物诊疗机构代作处理，所需处理费用由养犬人承担，处一千元以上五千元以下罚款。</w:t>
      </w:r>
    </w:p>
    <w:p>
      <w:pPr>
        <w:pStyle w:val="Style16"/>
        <w:snapToGrid w:val="false"/>
        <w:spacing w:lineRule="exact" w:line="578"/>
        <w:ind w:endChars="0" w:end="0"/>
        <w:rPr>
          <w:rFonts w:ascii="宋体" w:hAnsi="宋体" w:eastAsia="仿宋_GB2312" w:cs="仿宋_GB2312"/>
          <w:color w:val="000000"/>
        </w:rPr>
      </w:pPr>
      <w:r>
        <w:rPr>
          <w:rFonts w:ascii="宋体" w:hAnsi="宋体" w:cs="黑体" w:hint="eastAsia" w:eastAsia="黑体"/>
          <w:color w:val="000000"/>
        </w:rPr>
        <w:t>第二十九条　</w:t>
      </w:r>
      <w:r>
        <w:rPr>
          <w:rFonts w:ascii="宋体" w:hAnsi="宋体" w:cs="仿宋_GB2312" w:hint="eastAsia" w:eastAsia="仿宋_GB2312"/>
          <w:color w:val="000000"/>
        </w:rPr>
        <w:t>违反本条例第十条第二款规定养犬超过限定数量的，由城市管理行政执法部门责令限期改正；逾期未改正的，没收超过限定数量的犬只。</w:t>
      </w:r>
    </w:p>
    <w:p>
      <w:pPr>
        <w:pStyle w:val="Style16"/>
        <w:snapToGrid w:val="false"/>
        <w:spacing w:lineRule="exact" w:line="578"/>
        <w:ind w:endChars="0" w:end="0"/>
        <w:rPr>
          <w:rFonts w:ascii="宋体" w:hAnsi="宋体" w:eastAsia="仿宋_GB2312" w:cs="仿宋_GB2312"/>
        </w:rPr>
      </w:pPr>
      <w:r>
        <w:rPr>
          <w:rFonts w:ascii="宋体" w:hAnsi="宋体" w:cs="仿宋_GB2312" w:hint="eastAsia" w:eastAsia="仿宋_GB2312"/>
          <w:color w:val="000000"/>
        </w:rPr>
        <w:t>违反第三款规定，饲养烈性犬或者列入禁养名录的大型犬的，由城市管理行政执法部门没收犬只，两年内不得申请办理养犬登记。</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第三十条　</w:t>
      </w:r>
      <w:r>
        <w:rPr>
          <w:rFonts w:ascii="宋体" w:hAnsi="宋体" w:cs="仿宋_GB2312" w:hint="eastAsia"/>
          <w:color w:val="000000"/>
        </w:rPr>
        <w:t>违反本条例第十一条、第十三条、第十四条规定，未办理养犬登记或者变更登记，以及携带外来犬只超过四十日未办理养犬登记的，由城市管理行政执法部门责令限期改正；逾期未改正的，没收犬只，对养犬人处二百元以上五百元以下罚款。</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第三十一条　</w:t>
      </w:r>
      <w:r>
        <w:rPr>
          <w:rFonts w:ascii="宋体" w:hAnsi="宋体" w:cs="仿宋_GB2312" w:hint="eastAsia"/>
          <w:color w:val="000000"/>
        </w:rPr>
        <w:t>违反本条例第十六条第五项规定，在居民住宅小区公共区域养犬的，由城市管理行政执法部门责令限期改正；逾期未改正的，没收犬只，注销养犬登记。</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违反第六项规定，遗弃饲养犬只的，由城市管理行政执法部门责令限期改正；拒不改正的，注销养犬登记，三年内不予办理养犬登记。</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黑体" w:hint="eastAsia" w:eastAsia="黑体"/>
          <w:color w:val="000000"/>
        </w:rPr>
        <w:t>第三十二条　</w:t>
      </w:r>
      <w:r>
        <w:rPr>
          <w:rFonts w:ascii="宋体" w:hAnsi="宋体" w:cs="仿宋_GB2312" w:hint="eastAsia"/>
          <w:color w:val="000000"/>
        </w:rPr>
        <w:t>违反本条例第十八条、第十九条规定，养犬人有下列行为之一的，由城市管理行政执法部门责令改正；拒不改正的，处一百元以上二百元以下罚款：</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（一）携带犬只出户未为犬只佩戴智能犬只识别牌的；</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（二）携带犬只出户未用长度二米以下且不具有伸缩性的犬绳牵领犬只的；</w:t>
      </w:r>
      <w:r>
        <w:rPr>
          <w:rFonts w:ascii="宋体" w:hAnsi="宋体" w:cs="仿宋_GB2312"/>
          <w:color w:val="000000"/>
        </w:rPr>
        <w:t xml:space="preserve"> </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（三）携带犬只出户未即时清理犬只粪便和呕吐物的；</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（四）由无民事行为能力人或者限制民事行为能力人单独携带犬只的；</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仿宋_GB2312" w:hint="eastAsia"/>
          <w:color w:val="000000"/>
        </w:rPr>
        <w:t>（五）进入楼道、电梯等拥挤场所，未给犬只佩戴嘴套，或者将犬只装入犬袋、犬笼，或者近身约束犬只的；</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（六）携带犬只进入禁止犬只进入的场所的。</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第三十三条　</w:t>
      </w:r>
      <w:r>
        <w:rPr>
          <w:rFonts w:ascii="宋体" w:hAnsi="宋体" w:cs="仿宋_GB2312" w:hint="eastAsia"/>
          <w:color w:val="000000"/>
        </w:rPr>
        <w:t>饲养犬只，干扰他人正常生活，放任犬只恐吓他人，或者驱使犬只伤害他人的，由公安机关依据《中华人民共和国治安管理处罚法》的有关规定予以处罚。</w:t>
      </w:r>
    </w:p>
    <w:p>
      <w:pPr>
        <w:pStyle w:val="Normal"/>
        <w:snapToGrid w:val="false"/>
        <w:spacing w:lineRule="exact" w:line="578"/>
        <w:ind w:firstLineChars="200" w:startChars="0" w:start="0" w:endChars="0" w:end="0"/>
        <w:textAlignment w:val="center"/>
        <w:rPr>
          <w:rFonts w:ascii="宋体" w:hAnsi="宋体" w:cs="仿宋_GB2312" w:hint="eastAsia"/>
        </w:rPr>
      </w:pPr>
      <w:r>
        <w:rPr>
          <w:rFonts w:ascii="宋体" w:hAnsi="宋体" w:cs="黑体" w:hint="eastAsia" w:eastAsia="黑体"/>
          <w:color w:val="000000"/>
        </w:rPr>
        <w:t>第三十四条　</w:t>
      </w:r>
      <w:r>
        <w:rPr>
          <w:rFonts w:ascii="宋体" w:hAnsi="宋体" w:cs="仿宋_GB2312" w:hint="eastAsia"/>
          <w:color w:val="000000"/>
        </w:rPr>
        <w:t>城市管理行政执法部门或者其他有关部门及其工作人员有玩忽职守、滥用职权、徇私舞弊行为的，由其所在单位、上级主管部门或者监察机关对直接负责的主管人员和其他直接责任人员依法给予处理，构成犯罪的，依法追究刑事责任。</w:t>
      </w:r>
    </w:p>
    <w:p>
      <w:pPr>
        <w:pStyle w:val="Style16"/>
        <w:spacing w:lineRule="exact" w:line="578"/>
        <w:ind w:endChars="0" w:end="0"/>
        <w:rPr>
          <w:rFonts w:ascii="宋体" w:hAnsi="宋体" w:cs="宋体" w:hint="eastAsia"/>
        </w:rPr>
      </w:pPr>
      <w:r>
        <w:rPr>
          <w:rFonts w:cs="宋体" w:hint="eastAsia" w:ascii="宋体" w:hAnsi="宋体"/>
        </w:rPr>
      </w:r>
    </w:p>
    <w:p>
      <w:pPr>
        <w:pStyle w:val="Normal"/>
        <w:snapToGrid w:val="false"/>
        <w:spacing w:lineRule="exact" w:line="578"/>
        <w:jc w:val="center"/>
        <w:textAlignment w:val="center"/>
        <w:rPr>
          <w:rFonts w:ascii="宋体" w:hAnsi="宋体" w:eastAsia="黑体" w:cs="黑体"/>
          <w:color w:val="000000"/>
        </w:rPr>
      </w:pPr>
      <w:r>
        <w:rPr>
          <w:rFonts w:ascii="宋体" w:hAnsi="宋体" w:cs="黑体" w:hint="eastAsia" w:eastAsia="黑体"/>
          <w:color w:val="000000"/>
        </w:rPr>
        <w:t>第六章　附则</w:t>
      </w:r>
    </w:p>
    <w:p>
      <w:pPr>
        <w:pStyle w:val="Style16"/>
        <w:snapToGrid w:val="false"/>
        <w:spacing w:lineRule="exact" w:line="578"/>
        <w:ind w:firstLineChars="0" w:firstLine="0" w:endChars="0" w:end="0"/>
        <w:rPr>
          <w:rFonts w:ascii="宋体" w:hAnsi="宋体" w:eastAsia="黑体" w:cs="宋体"/>
          <w:color w:val="000000"/>
        </w:rPr>
      </w:pPr>
      <w:r>
        <w:rPr>
          <w:rFonts w:eastAsia="黑体" w:cs="宋体" w:ascii="宋体" w:hAnsi="宋体"/>
          <w:color w:val="000000"/>
        </w:rPr>
      </w:r>
    </w:p>
    <w:p>
      <w:pPr>
        <w:pStyle w:val="Normal"/>
        <w:snapToGrid w:val="false"/>
        <w:spacing w:lineRule="exact" w:line="578"/>
        <w:ind w:firstLineChars="200" w:startChars="0" w:start="0" w:endChars="0" w:end="0"/>
        <w:textAlignment w:val="center"/>
        <w:rPr>
          <w:rFonts w:ascii="宋体" w:hAnsi="宋体" w:cs="仿宋_GB2312" w:hint="eastAsia"/>
          <w:color w:val="000000"/>
        </w:rPr>
      </w:pPr>
      <w:r>
        <w:rPr>
          <w:rFonts w:ascii="宋体" w:hAnsi="宋体" w:cs="黑体" w:hint="eastAsia" w:eastAsia="黑体"/>
          <w:color w:val="000000"/>
        </w:rPr>
        <w:t>第三十五条　</w:t>
      </w:r>
      <w:r>
        <w:rPr>
          <w:rFonts w:ascii="宋体" w:hAnsi="宋体" w:cs="仿宋_GB2312" w:hint="eastAsia"/>
          <w:color w:val="000000"/>
        </w:rPr>
        <w:t>本条例所称养犬人是指饲养犬只的单位和个人。</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第三十六条　</w:t>
      </w:r>
      <w:r>
        <w:rPr>
          <w:rFonts w:ascii="宋体" w:hAnsi="宋体" w:cs="仿宋_GB2312" w:hint="eastAsia"/>
          <w:color w:val="000000"/>
        </w:rPr>
        <w:t>对本条例施行前已经饲养的禁养犬只，养犬人应当自禁养犬名录公布之日起两个月内自行处理。</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仿宋_GB2312" w:hint="eastAsia"/>
          <w:color w:val="000000"/>
        </w:rPr>
        <w:t>本条例施行前已经为超过限养数量的非禁养犬只依法办理犬只免疫登记的，可以继续饲养。</w:t>
      </w:r>
    </w:p>
    <w:p>
      <w:pPr>
        <w:pStyle w:val="Normal"/>
        <w:snapToGrid w:val="false"/>
        <w:spacing w:lineRule="exact" w:line="578"/>
        <w:ind w:firstLineChars="200" w:startChars="0" w:start="0" w:endChars="0" w:end="0"/>
        <w:textAlignment w:val="center"/>
        <w:rPr>
          <w:rFonts w:ascii="宋体" w:hAnsi="宋体" w:cs="仿宋_GB2312"/>
          <w:color w:val="000000"/>
        </w:rPr>
      </w:pPr>
      <w:r>
        <w:rPr>
          <w:rFonts w:ascii="宋体" w:hAnsi="宋体" w:cs="黑体" w:hint="eastAsia" w:eastAsia="黑体"/>
          <w:color w:val="000000"/>
        </w:rPr>
        <w:t>第三十七条　</w:t>
      </w:r>
      <w:r>
        <w:rPr>
          <w:rFonts w:ascii="宋体" w:hAnsi="宋体" w:cs="仿宋_GB2312" w:hint="eastAsia"/>
          <w:color w:val="000000"/>
        </w:rPr>
        <w:t>本条例自</w:t>
      </w:r>
      <w:r>
        <w:rPr>
          <w:rFonts w:cs="仿宋_GB2312" w:hint="eastAsia" w:ascii="宋体" w:hAnsi="宋体"/>
          <w:color w:val="000000"/>
        </w:rPr>
        <w:t>2021</w:t>
      </w:r>
      <w:r>
        <w:rPr>
          <w:rFonts w:ascii="宋体" w:hAnsi="宋体" w:cs="仿宋_GB2312" w:hint="eastAsia"/>
          <w:color w:val="000000"/>
        </w:rPr>
        <w:t>年</w:t>
      </w:r>
      <w:r>
        <w:rPr>
          <w:rFonts w:cs="仿宋_GB2312" w:hint="eastAsia" w:ascii="宋体" w:hAnsi="宋体"/>
          <w:color w:val="000000"/>
        </w:rPr>
        <w:t>3</w:t>
      </w:r>
      <w:r>
        <w:rPr>
          <w:rFonts w:ascii="宋体" w:hAnsi="宋体" w:cs="仿宋_GB2312" w:hint="eastAsia"/>
          <w:color w:val="000000"/>
        </w:rPr>
        <w:t>月</w:t>
      </w:r>
      <w:r>
        <w:rPr>
          <w:rFonts w:cs="仿宋_GB2312" w:hint="eastAsia" w:ascii="宋体" w:hAnsi="宋体"/>
          <w:color w:val="000000"/>
        </w:rPr>
        <w:t>1</w:t>
      </w:r>
      <w:r>
        <w:rPr>
          <w:rFonts w:ascii="宋体" w:hAnsi="宋体" w:cs="仿宋_GB2312" w:hint="eastAsia"/>
          <w:color w:val="000000"/>
        </w:rPr>
        <w:t>日起施行。</w:t>
      </w:r>
    </w:p>
    <w:p>
      <w:pPr>
        <w:pStyle w:val="Style16"/>
        <w:spacing w:lineRule="exact" w:line="578"/>
        <w:ind w:endChars="0" w:end="0"/>
        <w:rPr>
          <w:rFonts w:ascii="宋体" w:hAnsi="宋体" w:cs="宋体"/>
          <w:color w:val="000000"/>
        </w:rPr>
      </w:pPr>
      <w:r>
        <w:rPr>
          <w:rFonts w:cs="宋体" w:ascii="宋体" w:hAnsi="宋体"/>
          <w:color w:val="000000"/>
        </w:rPr>
      </w:r>
    </w:p>
    <w:p>
      <w:pPr>
        <w:pStyle w:val="Normal"/>
        <w:spacing w:lineRule="exact" w:line="578"/>
        <w:rPr>
          <w:rFonts w:ascii="宋体" w:hAnsi="宋体" w:eastAsia="方正小标宋_GBK;微软雅黑" w:cs="黑体" w:hint="eastAsia"/>
        </w:rPr>
      </w:pPr>
      <w:r>
        <w:rPr>
          <w:rFonts w:eastAsia="方正小标宋_GBK;微软雅黑" w:cs="黑体" w:hint="eastAsia" w:ascii="宋体" w:hAnsi="宋体"/>
        </w:rPr>
      </w:r>
    </w:p>
    <w:sectPr>
      <w:footerReference w:type="default" r:id="rId2"/>
      <w:type w:val="nextPage"/>
      <w:pgSz w:w="11906" w:h="16838"/>
      <w:pgMar w:left="1531" w:right="1531" w:gutter="0" w:header="0" w:top="2041" w:footer="1701" w:bottom="2041"/>
      <w:pgNumType w:fmt="decimal"/>
      <w:formProt w:val="false"/>
      <w:textDirection w:val="lrTb"/>
      <w:docGrid w:type="default" w:linePitch="44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rightMargin">
                <wp:posOffset>-900430</wp:posOffset>
              </wp:positionH>
              <wp:positionV relativeFrom="paragraph">
                <wp:posOffset>635</wp:posOffset>
              </wp:positionV>
              <wp:extent cx="900430"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900430" cy="302260"/>
                      </a:xfrm>
                      <a:prstGeom prst="rect"/>
                      <a:solidFill>
                        <a:srgbClr val="FFFFFF">
                          <a:alpha val="0"/>
                        </a:srgbClr>
                      </a:solidFill>
                    </wps:spPr>
                    <wps:txbx>
                      <w:txbxContent>
                        <w:p>
                          <w:pPr>
                            <w:pStyle w:val="Footer"/>
                            <w:jc w:val="center"/>
                            <w:rPr>
                              <w:rStyle w:val="PageNumber"/>
                              <w:rFonts w:ascii="宋体" w:hAnsi="宋体" w:cs="宋体" w:hint="eastAsia"/>
                              <w:sz w:val="28"/>
                            </w:rPr>
                          </w:pPr>
                          <w:r>
                            <w:rPr>
                              <w:rStyle w:val="PageNumber"/>
                              <w:rFonts w:cs="宋体" w:hint="eastAsia" w:ascii="宋体" w:hAnsi="宋体"/>
                              <w:sz w:val="28"/>
                            </w:rPr>
                            <w:t xml:space="preserve">─ </w:t>
                          </w:r>
                          <w:r>
                            <w:rPr>
                              <w:rFonts w:cs="宋体" w:ascii="宋体" w:hAnsi="宋体"/>
                              <w:sz w:val="28"/>
                            </w:rPr>
                            <w:fldChar w:fldCharType="begin"/>
                          </w:r>
                          <w:r>
                            <w:rPr>
                              <w:rFonts w:cs="宋体" w:ascii="宋体" w:hAnsi="宋体"/>
                              <w:sz w:val="28"/>
                            </w:rPr>
                            <w:instrText xml:space="preserve"> PAGE </w:instrText>
                          </w:r>
                          <w:r>
                            <w:rPr>
                              <w:rFonts w:cs="宋体" w:ascii="宋体" w:hAnsi="宋体"/>
                              <w:sz w:val="28"/>
                            </w:rPr>
                            <w:fldChar w:fldCharType="separate"/>
                          </w:r>
                          <w:r>
                            <w:rPr>
                              <w:rFonts w:cs="宋体" w:ascii="宋体" w:hAnsi="宋体"/>
                              <w:sz w:val="28"/>
                            </w:rPr>
                            <w:t>12</w:t>
                          </w:r>
                          <w:r>
                            <w:rPr>
                              <w:rFonts w:cs="宋体" w:ascii="宋体" w:hAnsi="宋体"/>
                              <w:sz w:val="28"/>
                            </w:rPr>
                            <w:fldChar w:fldCharType="end"/>
                          </w:r>
                          <w:r>
                            <w:rPr>
                              <w:rStyle w:val="PageNumber"/>
                              <w:rFonts w:cs="宋体" w:hint="eastAsia" w:ascii="宋体" w:hAnsi="宋体"/>
                              <w:sz w:val="28"/>
                            </w:rPr>
                            <w:t xml:space="preserve"> ─</w:t>
                          </w:r>
                        </w:p>
                      </w:txbxContent>
                    </wps:txbx>
                    <wps:bodyPr anchor="t" lIns="0" tIns="0" rIns="0" bIns="0">
                      <a:noAutofit/>
                    </wps:bodyPr>
                  </wps:wsp>
                </a:graphicData>
              </a:graphic>
            </wp:anchor>
          </w:drawing>
        </mc:Choice>
        <mc:Fallback>
          <w:pict>
            <v:rect fillcolor="#FFFFFF" style="position:absolute;rotation:-0;width:70.9pt;height:23.8pt;mso-wrap-distance-left:0pt;mso-wrap-distance-right:0pt;mso-wrap-distance-top:0pt;mso-wrap-distance-bottom:0pt;margin-top:0.05pt;mso-position-vertical-relative:text;margin-left:-70.9pt;mso-position-horizontal-relative:text">
              <v:fill opacity="0f"/>
              <v:textbox inset="0in,0in,0in,0in">
                <w:txbxContent>
                  <w:p>
                    <w:pPr>
                      <w:pStyle w:val="Footer"/>
                      <w:jc w:val="center"/>
                      <w:rPr>
                        <w:rStyle w:val="PageNumber"/>
                        <w:rFonts w:ascii="宋体" w:hAnsi="宋体" w:cs="宋体" w:hint="eastAsia"/>
                        <w:sz w:val="28"/>
                      </w:rPr>
                    </w:pPr>
                    <w:r>
                      <w:rPr>
                        <w:rStyle w:val="PageNumber"/>
                        <w:rFonts w:cs="宋体" w:hint="eastAsia" w:ascii="宋体" w:hAnsi="宋体"/>
                        <w:sz w:val="28"/>
                      </w:rPr>
                      <w:t xml:space="preserve">─ </w:t>
                    </w:r>
                    <w:r>
                      <w:rPr>
                        <w:rFonts w:cs="宋体" w:ascii="宋体" w:hAnsi="宋体"/>
                        <w:sz w:val="28"/>
                      </w:rPr>
                      <w:fldChar w:fldCharType="begin"/>
                    </w:r>
                    <w:r>
                      <w:rPr>
                        <w:rFonts w:cs="宋体" w:ascii="宋体" w:hAnsi="宋体"/>
                        <w:sz w:val="28"/>
                      </w:rPr>
                      <w:instrText xml:space="preserve"> PAGE </w:instrText>
                    </w:r>
                    <w:r>
                      <w:rPr>
                        <w:rFonts w:cs="宋体" w:ascii="宋体" w:hAnsi="宋体"/>
                        <w:sz w:val="28"/>
                      </w:rPr>
                      <w:fldChar w:fldCharType="separate"/>
                    </w:r>
                    <w:r>
                      <w:rPr>
                        <w:rFonts w:cs="宋体" w:ascii="宋体" w:hAnsi="宋体"/>
                        <w:sz w:val="28"/>
                      </w:rPr>
                      <w:t>12</w:t>
                    </w:r>
                    <w:r>
                      <w:rPr>
                        <w:rFonts w:cs="宋体" w:ascii="宋体" w:hAnsi="宋体"/>
                        <w:sz w:val="28"/>
                      </w:rPr>
                      <w:fldChar w:fldCharType="end"/>
                    </w:r>
                    <w:r>
                      <w:rPr>
                        <w:rStyle w:val="PageNumber"/>
                        <w:rFonts w:cs="宋体" w:hint="eastAsia" w:ascii="宋体" w:hAnsi="宋体"/>
                        <w:sz w:val="28"/>
                      </w:rPr>
                      <w:t xml:space="preserve"> ─</w:t>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Calibri"/>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character" w:styleId="Emphasis">
    <w:name w:val="Emphasis"/>
    <w:basedOn w:val="Style14"/>
    <w:qFormat/>
    <w:rPr>
      <w:rFonts w:cs="Times New Roman"/>
      <w:color w:val="CC0000"/>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正文缩进"/>
    <w:basedOn w:val="Normal"/>
    <w:qFormat/>
    <w:pPr>
      <w:ind w:firstLineChars="200" w:startChars="0" w:start="0" w:endChars="0" w:end="0"/>
    </w:pPr>
    <w:rPr>
      <w:rFonts w:eastAsia="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2020-12-11T10:36:00Z</dcterms:created>
  <dc:creator>lenovo</dc:creator>
  <dc:description/>
  <dc:language>en-US</dc:language>
  <cp:lastModifiedBy>최메이징</cp:lastModifiedBy>
  <dcterms:modified xsi:type="dcterms:W3CDTF">2021-01-26T23:13:56Z</dcterms:modified>
  <cp:revision>4</cp:revision>
  <dc:subject/>
  <dc:title>目　　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