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ew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kern w:val="0"/>
          <w:sz w:val="44"/>
          <w:szCs w:val="44"/>
        </w:rPr>
      </w:pPr>
      <w:r>
        <w:rPr>
          <w:rFonts w:ascii="宋体" w:hAnsi="宋体" w:cs="宋体" w:hint="eastAsia" w:eastAsia="宋体"/>
          <w:kern w:val="0"/>
          <w:sz w:val="44"/>
          <w:szCs w:val="44"/>
        </w:rPr>
        <w:t>延边朝鲜族自治州长白松省级自然保护区</w:t>
      </w:r>
    </w:p>
    <w:p>
      <w:pPr>
        <w:pStyle w:val="New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auto" w:line="240"/>
        <w:jc w:val="center"/>
        <w:textAlignment w:val="auto"/>
        <w:rPr>
          <w:rFonts w:ascii="宋体" w:hAnsi="宋体" w:eastAsia="宋体" w:cs="宋体" w:hint="eastAsia"/>
          <w:kern w:val="0"/>
          <w:sz w:val="44"/>
          <w:szCs w:val="44"/>
        </w:rPr>
      </w:pPr>
      <w:r>
        <w:rPr>
          <w:rFonts w:ascii="宋体" w:hAnsi="宋体" w:cs="宋体" w:hint="eastAsia" w:eastAsia="宋体"/>
          <w:kern w:val="0"/>
          <w:sz w:val="44"/>
          <w:szCs w:val="44"/>
        </w:rPr>
        <w:t>管理条例</w:t>
      </w:r>
    </w:p>
    <w:p>
      <w:pPr>
        <w:pStyle w:val="New"/>
        <w:keepNext w:val="false"/>
        <w:keepLines w:val="false"/>
        <w:pageBreakBefore w:val="false"/>
        <w:widowControl/>
        <w:shd w:fill="FFFFFF" w:val="clear"/>
        <w:kinsoku w:val="true"/>
        <w:overflowPunct w:val="true"/>
        <w:autoSpaceDE w:val="true"/>
        <w:bidi w:val="0"/>
        <w:snapToGrid w:val="true"/>
        <w:spacing w:lineRule="exact" w:line="500"/>
        <w:ind w:firstLineChars="0" w:firstLine="0" w:startChars="200" w:endChars="200"/>
        <w:jc w:val="start"/>
        <w:textAlignment w:val="auto"/>
        <w:rPr>
          <w:rFonts w:ascii="楷体_GB2312" w:hAnsi="楷体_GB2312" w:eastAsia="楷体_GB2312" w:cs="楷体_GB2312" w:hint="eastAsia"/>
          <w:kern w:val="0"/>
          <w:sz w:val="32"/>
          <w:szCs w:val="32"/>
        </w:rPr>
      </w:pPr>
      <w:r>
        <w:rPr>
          <w:rFonts w:ascii="楷体_GB2312" w:hAnsi="楷体_GB2312" w:cs="楷体_GB2312" w:hint="eastAsia" w:eastAsia="楷体_GB2312"/>
          <w:kern w:val="0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kern w:val="0"/>
          <w:sz w:val="32"/>
          <w:szCs w:val="32"/>
        </w:rPr>
        <w:t>1999</w:t>
      </w:r>
      <w:r>
        <w:rPr>
          <w:rFonts w:ascii="楷体_GB2312" w:hAnsi="楷体_GB2312" w:cs="楷体_GB2312" w:hint="eastAsia" w:eastAsia="楷体_GB2312"/>
          <w:kern w:val="0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kern w:val="0"/>
          <w:sz w:val="32"/>
          <w:szCs w:val="32"/>
        </w:rPr>
        <w:t>1</w:t>
      </w:r>
      <w:r>
        <w:rPr>
          <w:rFonts w:ascii="楷体_GB2312" w:hAnsi="楷体_GB2312" w:cs="楷体_GB2312" w:hint="eastAsia" w:eastAsia="楷体_GB2312"/>
          <w:kern w:val="0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kern w:val="0"/>
          <w:sz w:val="32"/>
          <w:szCs w:val="32"/>
        </w:rPr>
        <w:t>18</w:t>
      </w:r>
      <w:r>
        <w:rPr>
          <w:rFonts w:ascii="楷体_GB2312" w:hAnsi="楷体_GB2312" w:cs="楷体_GB2312" w:hint="eastAsia" w:eastAsia="楷体_GB2312"/>
          <w:kern w:val="0"/>
          <w:sz w:val="32"/>
          <w:szCs w:val="32"/>
        </w:rPr>
        <w:t xml:space="preserve">日延边朝鲜族自治州第十一届人民代表大会第二次会议通过  </w:t>
      </w:r>
      <w:r>
        <w:rPr>
          <w:rFonts w:eastAsia="楷体_GB2312" w:cs="楷体_GB2312" w:hint="eastAsia" w:ascii="楷体_GB2312" w:hAnsi="楷体_GB2312"/>
          <w:kern w:val="0"/>
          <w:sz w:val="32"/>
          <w:szCs w:val="32"/>
        </w:rPr>
        <w:t>1999</w:t>
      </w:r>
      <w:r>
        <w:rPr>
          <w:rFonts w:ascii="楷体_GB2312" w:hAnsi="楷体_GB2312" w:cs="楷体_GB2312" w:hint="eastAsia" w:eastAsia="楷体_GB2312"/>
          <w:kern w:val="0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kern w:val="0"/>
          <w:sz w:val="32"/>
          <w:szCs w:val="32"/>
        </w:rPr>
        <w:t>3</w:t>
      </w:r>
      <w:r>
        <w:rPr>
          <w:rFonts w:ascii="楷体_GB2312" w:hAnsi="楷体_GB2312" w:cs="楷体_GB2312" w:hint="eastAsia" w:eastAsia="楷体_GB2312"/>
          <w:kern w:val="0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kern w:val="0"/>
          <w:sz w:val="32"/>
          <w:szCs w:val="32"/>
        </w:rPr>
        <w:t>31</w:t>
      </w:r>
      <w:r>
        <w:rPr>
          <w:rFonts w:ascii="楷体_GB2312" w:hAnsi="楷体_GB2312" w:cs="楷体_GB2312" w:hint="eastAsia" w:eastAsia="楷体_GB2312"/>
          <w:kern w:val="0"/>
          <w:sz w:val="32"/>
          <w:szCs w:val="32"/>
        </w:rPr>
        <w:t xml:space="preserve">日吉林省第九届人民代表大会常务委员会第九次会议批准  </w:t>
      </w:r>
      <w:r>
        <w:rPr>
          <w:rFonts w:eastAsia="楷体_GB2312" w:cs="楷体_GB2312" w:hint="eastAsia" w:ascii="楷体_GB2312" w:hAnsi="楷体_GB2312"/>
          <w:kern w:val="0"/>
          <w:sz w:val="32"/>
          <w:szCs w:val="32"/>
        </w:rPr>
        <w:t>1999</w:t>
      </w:r>
      <w:r>
        <w:rPr>
          <w:rFonts w:ascii="楷体_GB2312" w:hAnsi="楷体_GB2312" w:cs="楷体_GB2312" w:hint="eastAsia" w:eastAsia="楷体_GB2312"/>
          <w:kern w:val="0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kern w:val="0"/>
          <w:sz w:val="32"/>
          <w:szCs w:val="32"/>
        </w:rPr>
        <w:t>4</w:t>
      </w:r>
      <w:r>
        <w:rPr>
          <w:rFonts w:ascii="楷体_GB2312" w:hAnsi="楷体_GB2312" w:cs="楷体_GB2312" w:hint="eastAsia" w:eastAsia="楷体_GB2312"/>
          <w:kern w:val="0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kern w:val="0"/>
          <w:sz w:val="32"/>
          <w:szCs w:val="32"/>
        </w:rPr>
        <w:t>9</w:t>
      </w:r>
      <w:r>
        <w:rPr>
          <w:rFonts w:ascii="楷体_GB2312" w:hAnsi="楷体_GB2312" w:cs="楷体_GB2312" w:hint="eastAsia" w:eastAsia="楷体_GB2312"/>
          <w:kern w:val="0"/>
          <w:sz w:val="32"/>
          <w:szCs w:val="32"/>
        </w:rPr>
        <w:t xml:space="preserve">日公布施行  </w:t>
      </w:r>
      <w:r>
        <w:rPr>
          <w:rFonts w:ascii="楷体_GB2312" w:hAnsi="楷体_GB2312" w:cs="楷体_GB2312" w:hint="eastAsia" w:eastAsia="楷体_GB2312"/>
          <w:sz w:val="32"/>
          <w:szCs w:val="32"/>
        </w:rPr>
        <w:t>根据</w:t>
      </w:r>
      <w:r>
        <w:rPr>
          <w:rFonts w:eastAsia="楷体_GB2312" w:cs="楷体_GB2312" w:hint="eastAsia" w:ascii="楷体_GB2312" w:hAnsi="楷体_GB2312"/>
          <w:sz w:val="32"/>
          <w:szCs w:val="32"/>
        </w:rPr>
        <w:t>2020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1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9</w:t>
      </w:r>
      <w:r>
        <w:rPr>
          <w:rFonts w:ascii="楷体_GB2312" w:hAnsi="楷体_GB2312" w:cs="楷体_GB2312" w:hint="eastAsia" w:eastAsia="楷体_GB2312"/>
          <w:sz w:val="32"/>
          <w:szCs w:val="32"/>
        </w:rPr>
        <w:t xml:space="preserve">日延边朝鲜族自治州第十五届人民代表大会第五次会议通过  </w:t>
      </w:r>
      <w:r>
        <w:rPr>
          <w:rFonts w:eastAsia="楷体_GB2312" w:cs="楷体_GB2312" w:hint="eastAsia" w:ascii="楷体_GB2312" w:hAnsi="楷体_GB2312"/>
          <w:sz w:val="32"/>
          <w:szCs w:val="32"/>
        </w:rPr>
        <w:t>2020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6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5</w:t>
      </w:r>
      <w:r>
        <w:rPr>
          <w:rFonts w:ascii="楷体_GB2312" w:hAnsi="楷体_GB2312" w:cs="楷体_GB2312" w:hint="eastAsia" w:eastAsia="楷体_GB2312"/>
          <w:sz w:val="32"/>
          <w:szCs w:val="32"/>
        </w:rPr>
        <w:t>日吉林省第十三届人民代表大会常务委员会第二十二次会议批准的《关于修改和废止〈延边朝鲜族自治州企业和企业经营者权益保护条例〉等</w:t>
      </w:r>
      <w:r>
        <w:rPr>
          <w:rFonts w:eastAsia="楷体_GB2312" w:cs="楷体_GB2312" w:hint="eastAsia" w:ascii="楷体_GB2312" w:hAnsi="楷体_GB2312"/>
          <w:sz w:val="32"/>
          <w:szCs w:val="32"/>
        </w:rPr>
        <w:t>11</w:t>
      </w:r>
      <w:r>
        <w:rPr>
          <w:rFonts w:ascii="楷体_GB2312" w:hAnsi="楷体_GB2312" w:cs="楷体_GB2312" w:hint="eastAsia" w:eastAsia="楷体_GB2312"/>
          <w:sz w:val="32"/>
          <w:szCs w:val="32"/>
        </w:rPr>
        <w:t>部单行条例的决定》修正</w:t>
      </w:r>
      <w:r>
        <w:rPr>
          <w:rFonts w:ascii="楷体_GB2312" w:hAnsi="楷体_GB2312" w:cs="楷体_GB2312" w:hint="eastAsia" w:eastAsia="楷体_GB2312"/>
          <w:kern w:val="0"/>
          <w:sz w:val="32"/>
          <w:szCs w:val="32"/>
        </w:rPr>
        <w:t>）</w:t>
      </w:r>
    </w:p>
    <w:p>
      <w:pPr>
        <w:pStyle w:val="New"/>
        <w:widowControl/>
        <w:shd w:fill="FFFFFF" w:val="clear"/>
        <w:spacing w:lineRule="exact" w:line="500"/>
        <w:jc w:val="start"/>
        <w:rPr>
          <w:rFonts w:ascii="黑体" w:hAnsi="黑体" w:eastAsia="黑体" w:cs="黑体" w:hint="eastAsia"/>
          <w:kern w:val="0"/>
          <w:sz w:val="32"/>
          <w:szCs w:val="32"/>
        </w:rPr>
      </w:pPr>
      <w:r>
        <w:rPr>
          <w:rFonts w:eastAsia="黑体" w:cs="黑体" w:hint="eastAsia" w:ascii="黑体" w:hAnsi="黑体"/>
          <w:kern w:val="0"/>
          <w:sz w:val="32"/>
          <w:szCs w:val="32"/>
        </w:rPr>
      </w:r>
    </w:p>
    <w:p>
      <w:pPr>
        <w:pStyle w:val="New"/>
        <w:widowControl/>
        <w:shd w:fill="FFFFFF" w:val="clear"/>
        <w:spacing w:lineRule="exact" w:line="50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eastAsia="黑体" w:cs="黑体" w:hint="eastAsia" w:ascii="黑体" w:hAnsi="黑体"/>
          <w:kern w:val="0"/>
          <w:sz w:val="32"/>
          <w:szCs w:val="32"/>
        </w:rPr>
        <w:t xml:space="preserve">    </w:t>
      </w: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第一条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为保护、发展和合理开发利用长白松（俗称美人松）资源，根据《中华人民共和国自然保护区条例》和其他有关法律、法规，结合自治州实际，制定本条例。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第二条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长白松省级自然保护区（以下简称保护区）现已确定的保护区面积和界线不得随意变更，确需变更，必须经原审批机关批准。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第三条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凡在保护区及其外围保护带活动的单位和个人都必须遵守本条例。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</w:rPr>
        <w:br/>
      </w:r>
      <w:r>
        <w:rPr>
          <w:rFonts w:ascii="仿宋_GB2312" w:hAnsi="仿宋_GB2312" w:cs="仿宋_GB2312" w:hint="eastAsia"/>
          <w:kern w:val="0"/>
          <w:sz w:val="32"/>
          <w:szCs w:val="32"/>
        </w:rPr>
        <w:t>任何单位和个人都有保护长白松的义务，对损伤破坏长白松的行为，有权检举和控告。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第四条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州人民政府应加强对保护区工作的领导，保护区所在地各级人民政府要支持长白松的保护工作。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第五条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州林业行政主管部门负责保护区的保护和管理，并在白河林业局设立保护区管理站，负责具体工作。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第六条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保护区管理站主要职责是：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（一）认真贯彻执行有关法律、法规，进行长白松保护知识的教育；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（二）依法保护保护区内自然环境和自然资源，调查自然资源并建立档案；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（三）制定保护区的各项管理制度；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（四）组织实施保护区建设规划；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（五）有计划地发展长白松资源，提供种子；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（六）会同有关部门进行科学研究，探索长白松自然演变规律；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（七）配合有关部门，搞好护林防火和病虫鼠害防治；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（八）会同有关部门查处违反本条例的案件；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（九）负责保护区界标的设置和管理。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第七条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州林业行政主管部门依据保护区总体规划，会同当地人民政府编制保护区的建设规划，经州人民政府批准后报省人民政府备案，并纳入州人民政府和有关部门的投资计划。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第八条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保护区划分为核心区、实验区。州林业行政主管部门根据需要，会同有关部门可以在保护区外围划定</w:t>
      </w:r>
      <w:r>
        <w:rPr>
          <w:rFonts w:eastAsia="仿宋_GB2312" w:cs="仿宋_GB2312" w:hint="eastAsia" w:ascii="仿宋_GB2312" w:hAnsi="仿宋_GB2312"/>
          <w:kern w:val="0"/>
          <w:sz w:val="32"/>
          <w:szCs w:val="32"/>
        </w:rPr>
        <w:t>2-10</w:t>
      </w:r>
      <w:r>
        <w:rPr>
          <w:rFonts w:ascii="仿宋_GB2312" w:hAnsi="仿宋_GB2312" w:cs="仿宋_GB2312" w:hint="eastAsia"/>
          <w:kern w:val="0"/>
          <w:sz w:val="32"/>
          <w:szCs w:val="32"/>
        </w:rPr>
        <w:t>米宽的保护带。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第九条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保护区内保存完好的天然状态的生态系统划为核心区。未经保护区管理站的批准，核心区禁止任何单位和个人进入。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第十条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在保护区的实验区内采种的单位和个人，须待保护区管理站签发的《采种许可证》方可采种。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确因科学研究等需要进入保护区的实验区内进行测绘、观测、调查活动的，必须事先向保护区管理站提交申请，经批准后方可进入。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第十一条  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进入保护区的实验区进行参观、旅游等活动的单位和个人，必须经保护区管理站批准，并按有关规定缴纳自然保护区费。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第十二条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保护区设立长白松保护资金。保护资金包括：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（一）财政、林业行政主管部门拨款；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（二）自然保护区费；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（三）自筹资金；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（四）其他资金。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第十三条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保护区及其外围保护带内不得兴建污染环境、破坏生态的建设项目，已兴建的应限期治理或迁出。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第十四条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保护区内禁止下列行为：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（一）在保护区内排放污染物的；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（二）擅自进入保护区的；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（三）擅自移动或者破坏保护区界标的；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（四）擅自采种、放牧、采药、开垦、采石、挖沙、狩猎、捕捞、开矿的；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（五）刻划钉钉、缠绕绳索、攀树折枝、剥损树皮及其他损害行为；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（六）擅自移植的；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（七）砍伐或者损伤致死的；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</w:rPr>
        <w:t>（八）法律法规禁止的其他行为。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第十五条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积极防治森林病虫鼠害。发生森林病虫鼠害时，保护区管理站应当及时组织除治，发生严重病虫鼠害时，各级人民政府及有关部门必须采取紧急扑灭措施，防止蔓延。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第十六条  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保护区和外围保护带内禁止一切野外用火。发生火灾时，保护区管理站要依据有关法规的规定，立即组织扑救。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第十七条  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保护区管理站应依据保护区建设规划，建立长白松繁育基地，开展以资源增值、生态环境向良性循环转化的种植等多种经营活动。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第十八条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符合下列条件的单位和个人，由州人民政府或州林业行政主管部门给予奖励：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（一）认真贯彻执行本条例有突出贡献的；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（二）研究、开发和利用长白松取得显著成绩的；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（三）在森林防火、病虫鼠害防治工作中有显著成绩的；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kern w:val="0"/>
          <w:sz w:val="32"/>
          <w:szCs w:val="32"/>
        </w:rPr>
        <w:t>（四）对破坏长白松的行为依法制止或检举、协助有关部门查处有功的。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第十九条  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违反本条例第十四条第（一）项规定，依据有关环境保护法律法规的规定进行处罚。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第二十条  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违反本条例第十四条第（二）项、第（三）项规定，由州林业行政主管部门责令其改正，并可以根据不同情节处以</w:t>
      </w:r>
      <w:r>
        <w:rPr>
          <w:rFonts w:eastAsia="仿宋_GB2312" w:cs="仿宋_GB2312" w:hint="eastAsia" w:ascii="仿宋_GB2312" w:hAnsi="仿宋_GB2312"/>
          <w:spacing w:val="2"/>
          <w:kern w:val="0"/>
          <w:sz w:val="32"/>
          <w:szCs w:val="32"/>
        </w:rPr>
        <w:t>100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元以上</w:t>
      </w:r>
      <w:r>
        <w:rPr>
          <w:rFonts w:eastAsia="仿宋_GB2312" w:cs="仿宋_GB2312" w:hint="eastAsia" w:ascii="仿宋_GB2312" w:hAnsi="仿宋_GB2312"/>
          <w:spacing w:val="2"/>
          <w:kern w:val="0"/>
          <w:sz w:val="32"/>
          <w:szCs w:val="32"/>
        </w:rPr>
        <w:t>400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元以下罚款。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第二十一条  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违反本条例第十四条第（四）项规定，由州林业行政主管部门，依照有关法律、行政法规规定给予处罚，并没收其违法所得，责令停止违法行为；对保护区造成破坏的可处以</w:t>
      </w:r>
      <w:r>
        <w:rPr>
          <w:rFonts w:eastAsia="仿宋_GB2312" w:cs="仿宋_GB2312" w:hint="eastAsia" w:ascii="仿宋_GB2312" w:hAnsi="仿宋_GB2312"/>
          <w:spacing w:val="2"/>
          <w:kern w:val="0"/>
          <w:sz w:val="32"/>
          <w:szCs w:val="32"/>
        </w:rPr>
        <w:t>300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元以上</w:t>
      </w:r>
      <w:r>
        <w:rPr>
          <w:rFonts w:eastAsia="仿宋_GB2312" w:cs="仿宋_GB2312" w:hint="eastAsia" w:ascii="仿宋_GB2312" w:hAnsi="仿宋_GB2312"/>
          <w:spacing w:val="2"/>
          <w:kern w:val="0"/>
          <w:sz w:val="32"/>
          <w:szCs w:val="32"/>
        </w:rPr>
        <w:t>5000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元以下罚款。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违反本条例第十四条第（五）项规定，由州林业行政主管部门视其情节处以</w:t>
      </w:r>
      <w:r>
        <w:rPr>
          <w:rFonts w:eastAsia="仿宋_GB2312" w:cs="仿宋_GB2312" w:hint="eastAsia" w:ascii="仿宋_GB2312" w:hAnsi="仿宋_GB2312"/>
          <w:spacing w:val="2"/>
          <w:kern w:val="0"/>
          <w:sz w:val="32"/>
          <w:szCs w:val="32"/>
        </w:rPr>
        <w:t>500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元以下罚款；违反第（六）项、第（七）项规定，视其情节处以</w:t>
      </w:r>
      <w:r>
        <w:rPr>
          <w:rFonts w:eastAsia="仿宋_GB2312" w:cs="仿宋_GB2312" w:hint="eastAsia" w:ascii="仿宋_GB2312" w:hAnsi="仿宋_GB2312"/>
          <w:spacing w:val="2"/>
          <w:kern w:val="0"/>
          <w:sz w:val="32"/>
          <w:szCs w:val="32"/>
        </w:rPr>
        <w:t>10000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元以上</w:t>
      </w:r>
      <w:r>
        <w:rPr>
          <w:rFonts w:eastAsia="仿宋_GB2312" w:cs="仿宋_GB2312" w:hint="eastAsia" w:ascii="仿宋_GB2312" w:hAnsi="仿宋_GB2312"/>
          <w:spacing w:val="2"/>
          <w:kern w:val="0"/>
          <w:sz w:val="32"/>
          <w:szCs w:val="32"/>
        </w:rPr>
        <w:t>30000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元以下罚款。具体罚款标准由州人民政府制定。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第二十二条  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违反本条例规定，构成犯罪的，依法追究刑事责任。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第二十三条  </w:t>
      </w:r>
      <w:r>
        <w:rPr>
          <w:rFonts w:ascii="仿宋_GB2312" w:hAnsi="仿宋_GB2312" w:cs="仿宋_GB2312" w:hint="eastAsia"/>
          <w:spacing w:val="2"/>
          <w:kern w:val="0"/>
          <w:sz w:val="32"/>
          <w:szCs w:val="32"/>
        </w:rPr>
        <w:t>保护区管理人员滥用职权、玩忽职守、徇私舞弊，情节较重的由所在单位或上级机关给予行政处分；构成犯罪的依法追究刑事责任。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第二十四条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妨碍保护区管理人员执行公务的由公安机关依据《中华人民共和国治安管理处罚条例》的规定给予处罚；构成犯罪的依法追究刑事责任。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第二十五条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当事人对行政处罚决定不服的可以依法申请复议或者提起行政诉讼。当事人对行政处罚决定不履行的，按照《中华人民共和国行政处罚法》等法律进行处罚。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第二十六条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本条例由州人大常委会负责解释。</w:t>
      </w:r>
    </w:p>
    <w:p>
      <w:pPr>
        <w:pStyle w:val="New"/>
        <w:widowControl/>
        <w:shd w:fill="FFFFFF" w:val="clear"/>
        <w:spacing w:lineRule="exact" w:line="500"/>
        <w:ind w:firstLineChars="200" w:startChars="0" w:start="0" w:endChars="0" w:end="0"/>
        <w:jc w:val="start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ascii="黑体" w:hAnsi="黑体" w:cs="黑体" w:hint="eastAsia" w:eastAsia="黑体"/>
          <w:kern w:val="0"/>
          <w:sz w:val="32"/>
          <w:szCs w:val="32"/>
        </w:rPr>
        <w:t xml:space="preserve">第二十七条  </w:t>
      </w:r>
      <w:r>
        <w:rPr>
          <w:rFonts w:ascii="仿宋_GB2312" w:hAnsi="仿宋_GB2312" w:cs="仿宋_GB2312" w:hint="eastAsia"/>
          <w:kern w:val="0"/>
          <w:sz w:val="32"/>
          <w:szCs w:val="32"/>
        </w:rPr>
        <w:t>本条例自公布之日起施行。</w:t>
      </w:r>
    </w:p>
    <w:p>
      <w:pPr>
        <w:pStyle w:val="New"/>
        <w:rPr>
          <w:rFonts w:ascii="仿宋_GB2312" w:hAnsi="仿宋_GB2312" w:eastAsia="仿宋_GB2312" w:cs="仿宋_GB2312" w:hint="eastAsia"/>
          <w:kern w:val="0"/>
          <w:sz w:val="32"/>
          <w:szCs w:val="32"/>
        </w:rPr>
      </w:pPr>
      <w:r>
        <w:rPr>
          <w:rFonts w:eastAsia="仿宋_GB2312" w:cs="仿宋_GB2312" w:hint="eastAsia" w:ascii="仿宋_GB2312" w:hAnsi="仿宋_GB2312"/>
          <w:kern w:val="0"/>
          <w:sz w:val="32"/>
          <w:szCs w:val="32"/>
        </w:rPr>
      </w:r>
    </w:p>
    <w:p>
      <w:pPr>
        <w:pStyle w:val="New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</w:r>
    </w:p>
    <w:p>
      <w:pPr>
        <w:pStyle w:val="New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</w:r>
    </w:p>
    <w:p>
      <w:pPr>
        <w:pStyle w:val="New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</w:r>
    </w:p>
    <w:p>
      <w:pPr>
        <w:pStyle w:val="Normal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</w:r>
    </w:p>
    <w:sectPr>
      <w:footerReference w:type="default" r:id="rId2"/>
      <w:type w:val="nextPage"/>
      <w:pgSz w:w="11906" w:h="16838"/>
      <w:pgMar w:left="1587" w:right="1474" w:gutter="0" w:header="0" w:top="2098" w:footer="397" w:bottom="1984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0" w:characterSet="windows-1252"/>
    <w:family w:val="auto"/>
    <w:pitch w:val="default"/>
  </w:font>
  <w:font w:name="宋体">
    <w:charset w:val="86"/>
    <w:family w:val="auto"/>
    <w:pitch w:val="default"/>
  </w:font>
  <w:font w:name="楷体_GB2312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6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00330" cy="30353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3035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宋体" w:hAnsi="宋体" w:eastAsia="宋体" w:cs="宋体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rFonts w:eastAsia="宋体" w:cs="宋体"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9pt;height:23.9pt;mso-wrap-distance-left:9.05pt;mso-wrap-distance-right:0pt;mso-wrap-distance-top:0pt;mso-wrap-distance-bottom:0pt;margin-top:0pt;mso-position-vertical-relative:text;margin-left:434.3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宋体" w:hAnsi="宋体" w:eastAsia="宋体" w:cs="宋体" w:hint="eastAsia"/>
                        <w:sz w:val="28"/>
                        <w:szCs w:val="28"/>
                      </w:rPr>
                    </w:pP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t>5</w:t>
                    </w:r>
                    <w:r>
                      <w:rPr>
                        <w:rFonts w:eastAsia="宋体" w:cs="宋体" w:hint="eastAsia" w:ascii="宋体" w:hAnsi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hi-I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New">
    <w:name w:val="正文 New"/>
    <w:qFormat/>
    <w:pPr>
      <w:widowControl w:val="false"/>
      <w:bidi w:val="0"/>
      <w:jc w:val="both"/>
    </w:pPr>
    <w:rPr>
      <w:rFonts w:ascii="Calibri" w:hAnsi="Calibri" w:eastAsia="仿宋_GB2312" w:cs="Times New Roman"/>
      <w:color w:val="auto"/>
      <w:kern w:val="2"/>
      <w:sz w:val="32"/>
      <w:szCs w:val="32"/>
      <w:lang w:val="en-US" w:eastAsia="zh-CN" w:bidi="hi-IN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2020-08-31T13:36:07Z</dcterms:created>
  <dc:creator>jlrd302-a-z</dc:creator>
  <dc:description/>
  <dc:language>en-US</dc:language>
  <cp:lastModifiedBy/>
  <dcterms:modified xsi:type="dcterms:W3CDTF">2020-08-31T13:36:21Z</dcterms:modified>
  <cp:revision>0</cp:revision>
  <dc:subject/>
  <dc:title>延边朝鲜族自治州长白松省级自然保护区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2052-8.1.0.3199</vt:lpwstr>
  </property>
</Properties>
</file>